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48" w:lineRule="auto"/>
        <w:rPr>
          <w:rFonts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w:t>
      </w:r>
      <w:r>
        <w:rPr>
          <w:rFonts w:hint="eastAsia" w:eastAsia="方正小标宋简体"/>
          <w:bCs/>
          <w:sz w:val="46"/>
          <w:szCs w:val="46"/>
          <w:lang w:eastAsia="zh-CN"/>
        </w:rPr>
        <w:t>公安局</w:t>
      </w:r>
      <w:r>
        <w:rPr>
          <w:rFonts w:hint="eastAsia"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w:t>
      </w:r>
    </w:p>
    <w:p>
      <w:pPr>
        <w:spacing w:line="800" w:lineRule="exact"/>
        <w:jc w:val="center"/>
        <w:rPr>
          <w:rFonts w:eastAsia="方正小标宋简体"/>
          <w:bCs/>
          <w:sz w:val="46"/>
          <w:szCs w:val="46"/>
        </w:rPr>
      </w:pPr>
      <w:r>
        <w:rPr>
          <w:rFonts w:hint="eastAsia" w:eastAsia="方正小标宋简体"/>
          <w:bCs/>
          <w:sz w:val="46"/>
          <w:szCs w:val="46"/>
        </w:rPr>
        <w:t>部门整体支出绩效评价自评报告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岳阳市公安局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017001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202</w:t>
      </w:r>
      <w:r>
        <w:rPr>
          <w:rFonts w:hint="eastAsia" w:eastAsia="仿宋_GB2312"/>
          <w:sz w:val="32"/>
          <w:lang w:val="en-US" w:eastAsia="zh-CN"/>
        </w:rPr>
        <w:t>2</w:t>
      </w:r>
      <w:r>
        <w:rPr>
          <w:rFonts w:hint="eastAsia" w:eastAsia="仿宋_GB2312"/>
          <w:sz w:val="32"/>
        </w:rPr>
        <w:t>年 6</w:t>
      </w:r>
      <w:r>
        <w:rPr>
          <w:rFonts w:hint="eastAsia" w:eastAsia="仿宋_GB2312"/>
          <w:sz w:val="32"/>
          <w:lang w:val="en-US" w:eastAsia="zh-CN"/>
        </w:rPr>
        <w:t xml:space="preserve"> </w:t>
      </w:r>
      <w:r>
        <w:rPr>
          <w:rFonts w:hint="eastAsia" w:eastAsia="仿宋_GB2312"/>
          <w:sz w:val="32"/>
        </w:rPr>
        <w:t xml:space="preserve">月 </w:t>
      </w:r>
      <w:r>
        <w:rPr>
          <w:rFonts w:eastAsia="仿宋_GB2312"/>
          <w:sz w:val="32"/>
          <w:lang w:val="en"/>
        </w:rPr>
        <w:t>15</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84"/>
        <w:gridCol w:w="129"/>
        <w:gridCol w:w="109"/>
        <w:gridCol w:w="800"/>
        <w:gridCol w:w="12"/>
        <w:gridCol w:w="444"/>
        <w:gridCol w:w="731"/>
        <w:gridCol w:w="238"/>
        <w:gridCol w:w="147"/>
        <w:gridCol w:w="615"/>
        <w:gridCol w:w="300"/>
        <w:gridCol w:w="500"/>
        <w:gridCol w:w="169"/>
        <w:gridCol w:w="144"/>
        <w:gridCol w:w="400"/>
        <w:gridCol w:w="175"/>
        <w:gridCol w:w="256"/>
        <w:gridCol w:w="435"/>
        <w:gridCol w:w="146"/>
        <w:gridCol w:w="375"/>
        <w:gridCol w:w="25"/>
        <w:gridCol w:w="88"/>
        <w:gridCol w:w="957"/>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896"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val="en" w:eastAsia="zh-CN"/>
              </w:rPr>
            </w:pPr>
            <w:r>
              <w:rPr>
                <w:rFonts w:hint="eastAsia" w:ascii="仿宋_GB2312" w:hAnsi="仿宋_GB2312" w:eastAsia="仿宋_GB2312" w:cs="仿宋_GB2312"/>
                <w:color w:val="000000"/>
                <w:sz w:val="24"/>
                <w:lang w:val="en" w:eastAsia="zh-CN"/>
              </w:rPr>
              <w:t>王冬逸</w:t>
            </w:r>
          </w:p>
        </w:tc>
        <w:tc>
          <w:tcPr>
            <w:tcW w:w="1144"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861</w:t>
            </w:r>
            <w:r>
              <w:rPr>
                <w:rFonts w:hint="eastAsia" w:ascii="仿宋_GB2312" w:hAnsi="仿宋_GB2312" w:eastAsia="仿宋_GB2312" w:cs="仿宋_GB2312"/>
                <w:color w:val="000000"/>
                <w:sz w:val="24"/>
                <w:lang w:val="en-US" w:eastAsia="zh-CN"/>
              </w:rPr>
              <w:t>9018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896" w:type="dxa"/>
            <w:gridSpan w:val="10"/>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2069</w:t>
            </w:r>
          </w:p>
        </w:tc>
        <w:tc>
          <w:tcPr>
            <w:tcW w:w="1144" w:type="dxa"/>
            <w:gridSpan w:val="5"/>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06"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23"/>
            <w:vAlign w:val="center"/>
          </w:tcPr>
          <w:p>
            <w:pPr>
              <w:autoSpaceDN w:val="0"/>
              <w:spacing w:line="360" w:lineRule="auto"/>
              <w:jc w:val="left"/>
              <w:textAlignment w:val="center"/>
              <w:rPr>
                <w:rFonts w:hint="eastAsia" w:ascii="仿宋_GB2312" w:hAnsi="仿宋_GB2312" w:eastAsia="仿宋_GB2312" w:cs="仿宋_GB2312"/>
                <w:color w:val="000000"/>
                <w:sz w:val="24"/>
                <w:lang w:eastAsia="zh-CN"/>
              </w:rPr>
            </w:pPr>
            <w:r>
              <w:rPr>
                <w:rFonts w:hint="eastAsia" w:ascii="仿宋_GB2312" w:hAnsi="仿宋" w:eastAsia="仿宋_GB2312" w:cs="仿宋_GB2312"/>
                <w:color w:val="000000"/>
                <w:sz w:val="24"/>
                <w:szCs w:val="24"/>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制定的特种行业进行管理；警卫国家规定的特定人员，守卫重要的场所和设施；管理集会、游行、示威活动；管理户政、国籍、入境出境事务和外国人在中国境内居留、旅行的有关事务；维护国（边）境地区的治安秩序；对被判处管制、拘役、剥夺政治权利的罪犯和监外执行的罪犯执行刑罚，对被宣告缓刑、假释的罪犯实行监督、考察；监督管理计算机信息系统的安全保护工作；指导和监督国家机关、社会团体、企业事业组织和重点建设工程的治安保卫工作，指导治安保卫委员会等群众性组织的治安防范工作；指导、监督全市公安机关开展禁毒、缉毒工作，承担市禁毒委员会办公室的日常工作</w:t>
            </w:r>
            <w:r>
              <w:rPr>
                <w:rFonts w:hint="eastAsia" w:ascii="仿宋_GB2312" w:hAnsi="仿宋" w:eastAsia="仿宋_GB2312" w:cs="仿宋_GB2312"/>
                <w:color w:val="000000"/>
                <w:sz w:val="24"/>
                <w:szCs w:val="24"/>
                <w:lang w:eastAsia="zh-CN"/>
              </w:rPr>
              <w:t>；履行</w:t>
            </w:r>
            <w:r>
              <w:rPr>
                <w:rFonts w:hint="eastAsia" w:ascii="仿宋_GB2312" w:hAnsi="仿宋" w:eastAsia="仿宋_GB2312" w:cs="仿宋_GB2312"/>
                <w:color w:val="000000"/>
                <w:sz w:val="24"/>
                <w:szCs w:val="24"/>
              </w:rPr>
              <w:t>法律、法规规定的其他职责</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执行国家和省有关空防安全工资的方针、政策和法律、法规，负责民航空防安全管理和维护机场区域正常运输、生产、经营秩序的工作</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根据民用航空安全保卫方面的法律，法规、指示、命令、制定本机场安全保卫方案并督促执行；负责本机场范围内的空防、治安、交通管理工作</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处置非法干扰民用航空安全事件，维护机场范围道路交通，治安秩序；预防及侦破危害民用航空安全犯罪和机场范围内的其他刑事犯罪案件，负责危害民用航空安全犯罪和辖区内其他刑事犯罪案件的侦查工作，负责辖区消防监督检查工作</w:t>
            </w:r>
            <w:r>
              <w:rPr>
                <w:rFonts w:hint="eastAsia" w:ascii="仿宋_GB2312" w:hAnsi="仿宋" w:eastAsia="仿宋_GB2312" w:cs="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18"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23"/>
            <w:vAlign w:val="center"/>
          </w:tcPr>
          <w:p>
            <w:pPr>
              <w:autoSpaceDN w:val="0"/>
              <w:spacing w:line="240" w:lineRule="auto"/>
              <w:ind w:firstLine="480" w:firstLineChars="200"/>
              <w:jc w:val="left"/>
              <w:textAlignment w:val="center"/>
              <w:rPr>
                <w:rFonts w:hint="eastAsia" w:ascii="仿宋_GB2312" w:hAnsi="仿宋" w:eastAsia="仿宋_GB2312" w:cs="仿宋_GB2312"/>
                <w:color w:val="000000"/>
                <w:sz w:val="24"/>
                <w:szCs w:val="24"/>
              </w:rPr>
            </w:pPr>
          </w:p>
          <w:p>
            <w:pPr>
              <w:autoSpaceDN w:val="0"/>
              <w:spacing w:line="360" w:lineRule="auto"/>
              <w:jc w:val="left"/>
              <w:textAlignment w:val="center"/>
              <w:rPr>
                <w:rFonts w:ascii="仿宋_GB2312" w:hAnsi="仿宋_GB2312" w:eastAsia="仿宋_GB2312" w:cs="仿宋_GB2312"/>
                <w:color w:val="000000"/>
                <w:sz w:val="24"/>
              </w:rPr>
            </w:pPr>
            <w:r>
              <w:rPr>
                <w:rFonts w:hint="eastAsia" w:ascii="仿宋_GB2312" w:hAnsi="仿宋" w:eastAsia="仿宋_GB2312" w:cs="仿宋_GB2312"/>
                <w:color w:val="000000"/>
                <w:sz w:val="24"/>
                <w:szCs w:val="24"/>
              </w:rPr>
              <w:t>防范政治风险，维护政治安全；</w:t>
            </w:r>
            <w:r>
              <w:rPr>
                <w:rFonts w:hint="eastAsia" w:ascii="仿宋_GB2312" w:hAnsi="仿宋" w:eastAsia="仿宋_GB2312" w:cs="仿宋_GB2312"/>
                <w:color w:val="000000"/>
                <w:sz w:val="24"/>
                <w:szCs w:val="24"/>
                <w:lang w:eastAsia="zh-CN"/>
              </w:rPr>
              <w:t>化解信访积案，确保社会稳定；集中打击</w:t>
            </w:r>
            <w:r>
              <w:rPr>
                <w:rFonts w:hint="eastAsia" w:ascii="仿宋_GB2312" w:hAnsi="仿宋" w:eastAsia="仿宋_GB2312" w:cs="仿宋_GB2312"/>
                <w:color w:val="000000"/>
                <w:sz w:val="24"/>
                <w:szCs w:val="24"/>
              </w:rPr>
              <w:t>涉毒、盗抢、电信诈骗、涉黄涉赌、</w:t>
            </w:r>
            <w:r>
              <w:rPr>
                <w:rFonts w:hint="eastAsia" w:ascii="仿宋_GB2312" w:hAnsi="仿宋" w:eastAsia="仿宋_GB2312" w:cs="仿宋_GB2312"/>
                <w:color w:val="000000"/>
                <w:sz w:val="24"/>
                <w:szCs w:val="24"/>
                <w:lang w:eastAsia="zh-CN"/>
              </w:rPr>
              <w:t>“食药环”等违法犯罪，常态化</w:t>
            </w:r>
            <w:r>
              <w:rPr>
                <w:rFonts w:hint="eastAsia" w:ascii="仿宋_GB2312" w:hAnsi="仿宋" w:eastAsia="仿宋_GB2312" w:cs="仿宋_GB2312"/>
                <w:color w:val="000000"/>
                <w:sz w:val="24"/>
                <w:szCs w:val="24"/>
              </w:rPr>
              <w:t>开展扫黑除恶斗争</w:t>
            </w:r>
            <w:r>
              <w:rPr>
                <w:rFonts w:hint="eastAsia" w:ascii="仿宋_GB2312" w:hAnsi="仿宋" w:eastAsia="仿宋_GB2312" w:cs="仿宋_GB2312"/>
                <w:color w:val="000000"/>
                <w:sz w:val="24"/>
                <w:szCs w:val="24"/>
                <w:lang w:eastAsia="zh-CN"/>
              </w:rPr>
              <w:t>；全力做好疫情联防联控和流调溯源等工作；有序推进法治公安建设和基层基础建设。做好</w:t>
            </w:r>
            <w:r>
              <w:rPr>
                <w:rFonts w:hint="eastAsia" w:ascii="仿宋_GB2312" w:hAnsi="仿宋" w:eastAsia="仿宋_GB2312" w:cs="仿宋_GB2312"/>
                <w:color w:val="000000"/>
                <w:sz w:val="24"/>
                <w:szCs w:val="24"/>
              </w:rPr>
              <w:t>森林防火</w:t>
            </w:r>
            <w:r>
              <w:rPr>
                <w:rFonts w:hint="eastAsia" w:ascii="仿宋_GB2312" w:hAnsi="仿宋" w:eastAsia="仿宋_GB2312" w:cs="仿宋_GB2312"/>
                <w:color w:val="000000"/>
                <w:sz w:val="24"/>
                <w:szCs w:val="24"/>
                <w:lang w:eastAsia="zh-CN"/>
              </w:rPr>
              <w:t>防控</w:t>
            </w:r>
            <w:r>
              <w:rPr>
                <w:rFonts w:hint="eastAsia" w:ascii="仿宋_GB2312" w:hAnsi="仿宋" w:eastAsia="仿宋_GB2312" w:cs="仿宋_GB2312"/>
                <w:color w:val="000000"/>
                <w:sz w:val="24"/>
                <w:szCs w:val="24"/>
              </w:rPr>
              <w:t>，打击破坏森林和野生动植物资源违法行为</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保护森林</w:t>
            </w:r>
            <w:r>
              <w:rPr>
                <w:rFonts w:hint="eastAsia" w:ascii="仿宋_GB2312" w:hAnsi="仿宋" w:eastAsia="仿宋_GB2312" w:cs="仿宋_GB2312"/>
                <w:color w:val="000000"/>
                <w:sz w:val="24"/>
                <w:szCs w:val="24"/>
                <w:lang w:eastAsia="zh-CN"/>
              </w:rPr>
              <w:t>和动植物</w:t>
            </w:r>
            <w:r>
              <w:rPr>
                <w:rFonts w:hint="eastAsia" w:ascii="仿宋_GB2312" w:hAnsi="仿宋" w:eastAsia="仿宋_GB2312" w:cs="仿宋_GB2312"/>
                <w:color w:val="000000"/>
                <w:sz w:val="24"/>
                <w:szCs w:val="24"/>
              </w:rPr>
              <w:t>资源</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lang w:val="en-US" w:eastAsia="zh-CN"/>
              </w:rPr>
              <w:t>筑牢空防阵线，守护机场平安.全力推进“平安民航”建设工作。开展具有民航特色的大演练活动。不断深入加强宣传教育工作。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485"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23"/>
            <w:vAlign w:val="center"/>
          </w:tcPr>
          <w:p>
            <w:pPr>
              <w:autoSpaceDN w:val="0"/>
              <w:spacing w:line="360" w:lineRule="auto"/>
              <w:jc w:val="left"/>
              <w:textAlignment w:val="center"/>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lang w:eastAsia="zh-CN"/>
              </w:rPr>
              <w:t>高效率化解公安部交办信访积案，维护社会稳定，探索推进信访、维稳等机制有机融合；</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eastAsia="zh-CN"/>
              </w:rPr>
              <w:t>打击“盗抢骗”、“黄赌毒”、“食药环”等违法犯罪，常态化</w:t>
            </w:r>
            <w:r>
              <w:rPr>
                <w:rFonts w:hint="eastAsia" w:ascii="仿宋_GB2312" w:hAnsi="仿宋" w:eastAsia="仿宋_GB2312" w:cs="仿宋_GB2312"/>
                <w:color w:val="000000"/>
                <w:sz w:val="24"/>
                <w:szCs w:val="24"/>
              </w:rPr>
              <w:t>开展扫黑除恶斗争成效明显，</w:t>
            </w:r>
            <w:r>
              <w:rPr>
                <w:rFonts w:hint="eastAsia" w:ascii="仿宋_GB2312" w:hAnsi="仿宋" w:eastAsia="仿宋_GB2312" w:cs="仿宋_GB2312"/>
                <w:color w:val="000000"/>
                <w:sz w:val="24"/>
                <w:szCs w:val="24"/>
                <w:lang w:eastAsia="zh-CN"/>
              </w:rPr>
              <w:t>取得良好社会效益</w:t>
            </w:r>
            <w:r>
              <w:rPr>
                <w:rFonts w:hint="eastAsia" w:ascii="仿宋_GB2312" w:hAnsi="仿宋" w:eastAsia="仿宋_GB2312" w:cs="仿宋_GB2312"/>
                <w:color w:val="000000"/>
                <w:sz w:val="24"/>
                <w:szCs w:val="24"/>
              </w:rPr>
              <w:t>；</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eastAsia="zh-CN"/>
              </w:rPr>
              <w:t>人民安全感、满意度提升，岳阳市</w:t>
            </w:r>
            <w:r>
              <w:rPr>
                <w:rFonts w:hint="eastAsia" w:ascii="仿宋_GB2312" w:hAnsi="仿宋" w:eastAsia="仿宋_GB2312" w:cs="仿宋_GB2312"/>
                <w:color w:val="000000"/>
                <w:sz w:val="24"/>
                <w:szCs w:val="24"/>
              </w:rPr>
              <w:t>公安</w:t>
            </w:r>
            <w:r>
              <w:rPr>
                <w:rFonts w:hint="eastAsia" w:ascii="仿宋_GB2312" w:hAnsi="仿宋" w:eastAsia="仿宋_GB2312" w:cs="仿宋_GB2312"/>
                <w:color w:val="000000"/>
                <w:sz w:val="24"/>
                <w:szCs w:val="24"/>
                <w:lang w:eastAsia="zh-CN"/>
              </w:rPr>
              <w:t>警务评议在全省综合排名第二，人民群众对社会治安和公安队伍评价分别达到</w:t>
            </w:r>
            <w:r>
              <w:rPr>
                <w:rFonts w:hint="eastAsia" w:ascii="仿宋_GB2312" w:hAnsi="仿宋" w:eastAsia="仿宋_GB2312" w:cs="仿宋_GB2312"/>
                <w:color w:val="000000"/>
                <w:sz w:val="24"/>
                <w:szCs w:val="24"/>
                <w:lang w:val="en-US" w:eastAsia="zh-CN"/>
              </w:rPr>
              <w:t>94.33分、90.83分；</w:t>
            </w:r>
          </w:p>
          <w:p>
            <w:pPr>
              <w:autoSpaceDN w:val="0"/>
              <w:spacing w:line="360" w:lineRule="auto"/>
              <w:jc w:val="left"/>
              <w:textAlignment w:val="center"/>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rPr>
              <w:t>深入开展公安信息化和基层基础建设、执法规范化和公安队伍建设等重点工作,确保了全市大局稳定,有力推进了平安岳阳、法治岳阳建设</w:t>
            </w:r>
            <w:r>
              <w:rPr>
                <w:rFonts w:hint="eastAsia" w:ascii="仿宋_GB2312" w:hAnsi="仿宋" w:eastAsia="仿宋_GB2312" w:cs="仿宋_GB2312"/>
                <w:color w:val="000000"/>
                <w:sz w:val="24"/>
                <w:szCs w:val="24"/>
                <w:lang w:eastAsia="zh-CN"/>
              </w:rPr>
              <w:t>；</w:t>
            </w:r>
          </w:p>
          <w:p>
            <w:pPr>
              <w:autoSpaceDN w:val="0"/>
              <w:spacing w:line="360" w:lineRule="auto"/>
              <w:jc w:val="left"/>
              <w:textAlignment w:val="center"/>
              <w:rPr>
                <w:rFonts w:hint="eastAsia" w:ascii="仿宋_GB2312" w:hAnsi="仿宋" w:eastAsia="仿宋_GB2312" w:cs="仿宋_GB2312"/>
                <w:color w:val="000000"/>
                <w:sz w:val="24"/>
                <w:szCs w:val="24"/>
                <w:lang w:val="en-US" w:eastAsia="zh-CN"/>
              </w:rPr>
            </w:pPr>
            <w:r>
              <w:rPr>
                <w:rFonts w:hint="eastAsia" w:ascii="仿宋_GB2312" w:hAnsi="仿宋" w:eastAsia="仿宋_GB2312" w:cs="仿宋_GB2312"/>
                <w:color w:val="000000"/>
                <w:sz w:val="24"/>
                <w:szCs w:val="24"/>
                <w:lang w:val="en-US" w:eastAsia="zh-CN"/>
              </w:rPr>
              <w:t>开展多次专项行动，有力保护森林和动植物资源，保障人民群众生命财产安全。</w:t>
            </w:r>
          </w:p>
          <w:p>
            <w:pPr>
              <w:autoSpaceDN w:val="0"/>
              <w:spacing w:line="360" w:lineRule="auto"/>
              <w:jc w:val="left"/>
              <w:textAlignment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lang w:val="en-US" w:eastAsia="zh-CN"/>
              </w:rPr>
              <w:t>君山分局</w:t>
            </w:r>
            <w:r>
              <w:rPr>
                <w:rFonts w:hint="eastAsia" w:ascii="仿宋_GB2312" w:hAnsi="仿宋" w:eastAsia="仿宋_GB2312" w:cs="仿宋_GB2312"/>
                <w:color w:val="000000"/>
                <w:sz w:val="24"/>
                <w:szCs w:val="24"/>
                <w:lang w:eastAsia="zh-CN"/>
              </w:rPr>
              <w:t>荣获</w:t>
            </w:r>
            <w:r>
              <w:rPr>
                <w:rFonts w:hint="eastAsia" w:ascii="仿宋_GB2312" w:hAnsi="仿宋" w:eastAsia="仿宋_GB2312" w:cs="仿宋_GB2312"/>
                <w:color w:val="000000"/>
                <w:sz w:val="24"/>
                <w:szCs w:val="24"/>
                <w:lang w:val="en-US" w:eastAsia="zh-CN"/>
              </w:rPr>
              <w:t>2021年度</w:t>
            </w:r>
            <w:r>
              <w:rPr>
                <w:rFonts w:hint="eastAsia" w:ascii="仿宋_GB2312" w:hAnsi="仿宋" w:eastAsia="仿宋_GB2312" w:cs="仿宋_GB2312"/>
                <w:color w:val="000000"/>
                <w:sz w:val="24"/>
                <w:szCs w:val="24"/>
              </w:rPr>
              <w:t>“全区综合绩效考核先进单位”</w:t>
            </w:r>
            <w:r>
              <w:rPr>
                <w:rFonts w:hint="eastAsia" w:ascii="仿宋_GB2312" w:hAnsi="仿宋" w:eastAsia="仿宋_GB2312" w:cs="仿宋_GB2312"/>
                <w:color w:val="000000"/>
                <w:sz w:val="24"/>
                <w:szCs w:val="24"/>
                <w:lang w:eastAsia="zh-CN"/>
              </w:rPr>
              <w:t>、巡警大队获评全国爱民模范集体、</w:t>
            </w:r>
            <w:r>
              <w:rPr>
                <w:rFonts w:hint="eastAsia" w:ascii="仿宋_GB2312" w:hAnsi="仿宋" w:eastAsia="仿宋_GB2312" w:cs="仿宋_GB2312"/>
                <w:color w:val="000000"/>
                <w:sz w:val="24"/>
                <w:szCs w:val="24"/>
                <w:lang w:val="en-US" w:eastAsia="zh-CN"/>
              </w:rPr>
              <w:t>2021年湖南省扫黄打非优秀集体、</w:t>
            </w:r>
            <w:r>
              <w:rPr>
                <w:rFonts w:hint="eastAsia" w:ascii="仿宋_GB2312" w:hAnsi="仿宋" w:eastAsia="仿宋_GB2312" w:cs="仿宋_GB2312"/>
                <w:color w:val="000000"/>
                <w:sz w:val="24"/>
                <w:szCs w:val="24"/>
                <w:lang w:eastAsia="zh-CN"/>
              </w:rPr>
              <w:t>“市级文明单位”、“平安城市”</w:t>
            </w:r>
            <w:r>
              <w:rPr>
                <w:rFonts w:hint="eastAsia" w:ascii="仿宋_GB2312" w:hAnsi="仿宋" w:eastAsia="仿宋_GB2312" w:cs="仿宋_GB2312"/>
                <w:color w:val="000000"/>
                <w:sz w:val="24"/>
                <w:szCs w:val="24"/>
              </w:rPr>
              <w:t>、</w:t>
            </w:r>
            <w:r>
              <w:rPr>
                <w:rFonts w:hint="eastAsia" w:ascii="仿宋_GB2312" w:hAnsi="仿宋" w:eastAsia="仿宋_GB2312" w:cs="仿宋_GB2312"/>
                <w:color w:val="000000"/>
                <w:sz w:val="24"/>
                <w:szCs w:val="24"/>
                <w:lang w:eastAsia="zh-CN"/>
              </w:rPr>
              <w:t>“</w:t>
            </w:r>
            <w:r>
              <w:rPr>
                <w:rFonts w:hint="eastAsia" w:ascii="仿宋_GB2312" w:hAnsi="仿宋" w:eastAsia="仿宋_GB2312" w:cs="仿宋_GB2312"/>
                <w:color w:val="000000"/>
                <w:sz w:val="24"/>
                <w:szCs w:val="24"/>
              </w:rPr>
              <w:t>市</w:t>
            </w:r>
            <w:r>
              <w:rPr>
                <w:rFonts w:hint="eastAsia" w:ascii="仿宋_GB2312" w:hAnsi="仿宋" w:eastAsia="仿宋_GB2312" w:cs="仿宋_GB2312"/>
                <w:color w:val="000000"/>
                <w:sz w:val="24"/>
                <w:szCs w:val="24"/>
                <w:lang w:eastAsia="zh-CN"/>
              </w:rPr>
              <w:t>级七一维稳安保集体三等功”；</w:t>
            </w:r>
          </w:p>
          <w:p>
            <w:pPr>
              <w:autoSpaceDN w:val="0"/>
              <w:spacing w:line="360" w:lineRule="auto"/>
              <w:jc w:val="left"/>
              <w:textAlignment w:val="center"/>
              <w:rPr>
                <w:rFonts w:hint="eastAsia" w:ascii="仿宋_GB2312" w:hAnsi="仿宋" w:eastAsia="仿宋_GB2312" w:cs="仿宋_GB2312"/>
                <w:color w:val="000000"/>
                <w:sz w:val="24"/>
                <w:szCs w:val="24"/>
                <w:lang w:val="en-US" w:eastAsia="zh-CN"/>
              </w:rPr>
            </w:pPr>
            <w:r>
              <w:rPr>
                <w:rFonts w:hint="eastAsia" w:ascii="仿宋_GB2312" w:hAnsi="仿宋" w:eastAsia="仿宋_GB2312" w:cs="仿宋_GB2312"/>
                <w:color w:val="000000"/>
                <w:sz w:val="24"/>
                <w:szCs w:val="24"/>
                <w:lang w:val="en-US" w:eastAsia="zh-CN"/>
              </w:rPr>
              <w:t>交警支队紧紧围绕事故预防“减量控大”和建党100周年大庆这一主线，坚决贯彻执行市委市政府和省总队工作部署和要求，使全市交通安全形势持续平稳。全市开展各类专项整治行动400余次，查纠各类交通违法124.9万余起，全市较大以上交通事故“零发生。高标准完成“建党100周年”，省市党代会、春运等重要节点交通安保。支队加大对智能交通系统的优化，利用缉查布控系统，精准打击涉牌涉证违法行为。加强交通安全宣传教育，为民服务提质增效；</w:t>
            </w:r>
          </w:p>
          <w:p>
            <w:pPr>
              <w:pStyle w:val="2"/>
              <w:spacing w:line="360" w:lineRule="auto"/>
              <w:ind w:left="0" w:leftChars="0" w:firstLine="0" w:firstLineChars="0"/>
              <w:rPr>
                <w:rFonts w:hint="default" w:ascii="仿宋_GB2312" w:hAnsi="仿宋" w:eastAsia="仿宋_GB2312" w:cs="仿宋_GB2312"/>
                <w:color w:val="000000"/>
                <w:kern w:val="2"/>
                <w:sz w:val="24"/>
                <w:szCs w:val="24"/>
                <w:lang w:val="en-US" w:eastAsia="zh-CN" w:bidi="ar-SA"/>
              </w:rPr>
            </w:pPr>
            <w:r>
              <w:rPr>
                <w:rFonts w:hint="eastAsia" w:ascii="仿宋_GB2312" w:hAnsi="仿宋" w:eastAsia="仿宋_GB2312" w:cs="仿宋_GB2312"/>
                <w:color w:val="000000"/>
                <w:kern w:val="2"/>
                <w:sz w:val="24"/>
                <w:szCs w:val="24"/>
                <w:lang w:val="en-US" w:eastAsia="zh-CN" w:bidi="ar-SA"/>
              </w:rPr>
              <w:t>三荷机场分局确保了机场区域无重大案、事件发生；按质按量完成了各项警保卫工作；2021年，为解决办案困难的问题，我局获批建立简易执法办案场所，截止到11月，通过多方协调，已能投入使用；通过与交警支队对接和沟通，我局新设电子警察设备，完善科技执法手段，建设了交通违法电子警察抓拍系统，包括治安摄像头4处，卡口抓拍枪机2台、违停抓拍球机6台，目前该系统已投入使用，同时市交警支队也为我局交警大队处罚中心开通了相关现场处罚、电子违法处罚的权限，极大程度上完善了我局交警大队的业务工作，方便了机场公司员工及附近群众远离市区，办理交通业务路途遥远、难跑的问题。</w:t>
            </w:r>
          </w:p>
          <w:p>
            <w:pPr>
              <w:pStyle w:val="2"/>
              <w:ind w:left="0" w:leftChars="0" w:firstLine="0" w:firstLineChars="0"/>
              <w:rPr>
                <w:rFonts w:hint="eastAsia"/>
              </w:rPr>
            </w:pPr>
          </w:p>
          <w:p>
            <w:pPr>
              <w:pStyle w:val="2"/>
              <w:rPr>
                <w:rFonts w:hint="default" w:ascii="仿宋_GB2312" w:hAnsi="仿宋_GB2312" w:eastAsia="仿宋_GB2312" w:cs="仿宋_GB2312"/>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494" w:type="dxa"/>
            <w:gridSpan w:val="5"/>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781" w:type="dxa"/>
            <w:gridSpan w:val="19"/>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525"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94" w:type="dxa"/>
            <w:gridSpan w:val="5"/>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31"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513"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012"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44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494" w:type="dxa"/>
            <w:gridSpan w:val="5"/>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99718.43</w:t>
            </w:r>
          </w:p>
        </w:tc>
        <w:tc>
          <w:tcPr>
            <w:tcW w:w="1731" w:type="dxa"/>
            <w:gridSpan w:val="4"/>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15731.66</w:t>
            </w:r>
          </w:p>
        </w:tc>
        <w:tc>
          <w:tcPr>
            <w:tcW w:w="1513" w:type="dxa"/>
            <w:gridSpan w:val="5"/>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78166.8</w:t>
            </w:r>
          </w:p>
        </w:tc>
        <w:tc>
          <w:tcPr>
            <w:tcW w:w="1012"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5820.39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1.市公安局  （本级）</w:t>
            </w:r>
          </w:p>
        </w:tc>
        <w:tc>
          <w:tcPr>
            <w:tcW w:w="1494" w:type="dxa"/>
            <w:gridSpan w:val="5"/>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51025.83</w:t>
            </w:r>
          </w:p>
        </w:tc>
        <w:tc>
          <w:tcPr>
            <w:tcW w:w="1731"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11507.68</w:t>
            </w:r>
          </w:p>
        </w:tc>
        <w:tc>
          <w:tcPr>
            <w:tcW w:w="151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38964.50</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2.市公安局   君山分局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4712</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82.39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3559.48</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3.市公安局   岳阳楼分局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16639.4</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1823.5</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11220.82</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3595.08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4"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4.市公安局     森林警察支队</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666.9</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31.89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634.07</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5.市公安局   交警支队</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19241.43</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757.49</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18052.94</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1"/>
                <w:szCs w:val="21"/>
                <w:lang w:val="en-US" w:eastAsia="zh-CN"/>
              </w:rPr>
              <w:t>6.市公安局   云溪分局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6825.18</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1406.47</w:t>
            </w:r>
          </w:p>
        </w:tc>
        <w:tc>
          <w:tcPr>
            <w:tcW w:w="1513"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5418.72</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494" w:type="dxa"/>
            <w:gridSpan w:val="5"/>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607.68</w:t>
            </w:r>
          </w:p>
        </w:tc>
        <w:tc>
          <w:tcPr>
            <w:tcW w:w="1731"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122.24</w:t>
            </w:r>
          </w:p>
        </w:tc>
        <w:tc>
          <w:tcPr>
            <w:tcW w:w="1513"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316.27</w:t>
            </w:r>
          </w:p>
        </w:tc>
        <w:tc>
          <w:tcPr>
            <w:tcW w:w="1012"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44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075" w:type="dxa"/>
            <w:gridSpan w:val="15"/>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50"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88" w:type="dxa"/>
            <w:gridSpan w:val="9"/>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12"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7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1080"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7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8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12"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91737.82</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63526.5</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46658.71</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16867.79</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28211.32</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-8977.55</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7895.18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525" w:type="dxa"/>
            <w:gridSpan w:val="2"/>
            <w:vAlign w:val="center"/>
          </w:tcPr>
          <w:p>
            <w:pPr>
              <w:spacing w:line="320" w:lineRule="exact"/>
              <w:ind w:left="210" w:hanging="210" w:hangingChars="100"/>
              <w:jc w:val="left"/>
              <w:rPr>
                <w:rFonts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43436.01</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27363.06</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21777.42</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5585.64</w:t>
            </w:r>
          </w:p>
        </w:tc>
        <w:tc>
          <w:tcPr>
            <w:tcW w:w="1212" w:type="dxa"/>
            <w:gridSpan w:val="4"/>
            <w:vAlign w:val="center"/>
          </w:tcPr>
          <w:p>
            <w:pPr>
              <w:tabs>
                <w:tab w:val="left" w:pos="360"/>
              </w:tabs>
              <w:autoSpaceDN w:val="0"/>
              <w:spacing w:line="320" w:lineRule="exact"/>
              <w:jc w:val="center"/>
              <w:textAlignment w:val="center"/>
              <w:rPr>
                <w:rFonts w:ascii="仿宋_GB2312" w:hAnsi="仿宋_GB2312" w:eastAsia="仿宋_GB2312" w:cs="仿宋_GB2312"/>
                <w:color w:val="000000"/>
                <w:sz w:val="24"/>
              </w:rPr>
            </w:pPr>
          </w:p>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6072.95</w:t>
            </w:r>
          </w:p>
          <w:p>
            <w:pPr>
              <w:tabs>
                <w:tab w:val="left" w:pos="360"/>
              </w:tabs>
              <w:autoSpaceDN w:val="0"/>
              <w:spacing w:line="320" w:lineRule="exact"/>
              <w:jc w:val="center"/>
              <w:textAlignment w:val="center"/>
              <w:rPr>
                <w:rFonts w:ascii="仿宋_GB2312" w:hAnsi="仿宋_GB2312" w:eastAsia="仿宋_GB2312" w:cs="仿宋_GB2312"/>
                <w:color w:val="000000"/>
                <w:sz w:val="24"/>
              </w:rPr>
            </w:pP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-3917.86</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7589.82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4712</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1781.79</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895.74</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886.05</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2930.21</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16392.85</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11547.36</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10259.37</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1287.99</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4845.49</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-5172.03</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666.19</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606.4</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527.86</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78.54</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59.79</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-31.18</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19241.43</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19156.01</w:t>
            </w:r>
          </w:p>
        </w:tc>
        <w:tc>
          <w:tcPr>
            <w:tcW w:w="13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10682.5</w:t>
            </w:r>
          </w:p>
        </w:tc>
        <w:tc>
          <w:tcPr>
            <w:tcW w:w="1388" w:type="dxa"/>
            <w:gridSpan w:val="5"/>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8473.51</w:t>
            </w:r>
          </w:p>
        </w:tc>
        <w:tc>
          <w:tcPr>
            <w:tcW w:w="1212" w:type="dxa"/>
            <w:gridSpan w:val="4"/>
            <w:vAlign w:val="center"/>
          </w:tcPr>
          <w:p>
            <w:pPr>
              <w:tabs>
                <w:tab w:val="left" w:pos="360"/>
              </w:tabs>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85.42</w:t>
            </w:r>
          </w:p>
        </w:tc>
        <w:tc>
          <w:tcPr>
            <w:tcW w:w="1080"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6825.18</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2578.16</w:t>
            </w:r>
          </w:p>
        </w:tc>
        <w:tc>
          <w:tcPr>
            <w:tcW w:w="1300"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2269.04</w:t>
            </w:r>
          </w:p>
        </w:tc>
        <w:tc>
          <w:tcPr>
            <w:tcW w:w="1388" w:type="dxa"/>
            <w:gridSpan w:val="5"/>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308.71</w:t>
            </w:r>
          </w:p>
        </w:tc>
        <w:tc>
          <w:tcPr>
            <w:tcW w:w="1212" w:type="dxa"/>
            <w:gridSpan w:val="4"/>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4247.02</w:t>
            </w:r>
          </w:p>
        </w:tc>
        <w:tc>
          <w:tcPr>
            <w:tcW w:w="1070" w:type="dxa"/>
            <w:gridSpan w:val="3"/>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7" w:hRule="atLeast"/>
          <w:jc w:val="center"/>
        </w:trPr>
        <w:tc>
          <w:tcPr>
            <w:tcW w:w="1525" w:type="dxa"/>
            <w:gridSpan w:val="2"/>
            <w:vAlign w:val="center"/>
          </w:tcPr>
          <w:p>
            <w:pPr>
              <w:spacing w:line="320" w:lineRule="exact"/>
              <w:ind w:left="210" w:hanging="210" w:hangingChars="10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549.58</w:t>
            </w:r>
          </w:p>
        </w:tc>
        <w:tc>
          <w:tcPr>
            <w:tcW w:w="117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493.72</w:t>
            </w:r>
          </w:p>
        </w:tc>
        <w:tc>
          <w:tcPr>
            <w:tcW w:w="1300" w:type="dxa"/>
            <w:gridSpan w:val="4"/>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246.78</w:t>
            </w:r>
          </w:p>
        </w:tc>
        <w:tc>
          <w:tcPr>
            <w:tcW w:w="1388" w:type="dxa"/>
            <w:gridSpan w:val="5"/>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246.94</w:t>
            </w:r>
          </w:p>
        </w:tc>
        <w:tc>
          <w:tcPr>
            <w:tcW w:w="1212" w:type="dxa"/>
            <w:gridSpan w:val="4"/>
            <w:shd w:val="clear" w:color="auto" w:fill="auto"/>
            <w:vAlign w:val="center"/>
          </w:tcPr>
          <w:p>
            <w:pPr>
              <w:tabs>
                <w:tab w:val="left" w:pos="360"/>
              </w:tabs>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55.86</w:t>
            </w:r>
          </w:p>
        </w:tc>
        <w:tc>
          <w:tcPr>
            <w:tcW w:w="1070" w:type="dxa"/>
            <w:gridSpan w:val="3"/>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w:t>
            </w:r>
          </w:p>
        </w:tc>
        <w:tc>
          <w:tcPr>
            <w:tcW w:w="1080" w:type="dxa"/>
            <w:gridSpan w:val="2"/>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restart"/>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三公经费</w:t>
            </w:r>
          </w:p>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合计</w:t>
            </w:r>
          </w:p>
        </w:tc>
        <w:tc>
          <w:tcPr>
            <w:tcW w:w="7225" w:type="dxa"/>
            <w:gridSpan w:val="2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Merge w:val="continue"/>
            <w:vAlign w:val="center"/>
          </w:tcPr>
          <w:p>
            <w:pPr>
              <w:spacing w:line="320" w:lineRule="exact"/>
              <w:jc w:val="center"/>
              <w:rPr>
                <w:rFonts w:ascii="仿宋_GB2312" w:hAnsi="仿宋_GB2312" w:eastAsia="仿宋_GB2312" w:cs="仿宋_GB2312"/>
                <w:b/>
                <w:bCs/>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156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公务接待费</w:t>
            </w:r>
          </w:p>
        </w:tc>
        <w:tc>
          <w:tcPr>
            <w:tcW w:w="1728" w:type="dxa"/>
            <w:gridSpan w:val="5"/>
            <w:vAlign w:val="center"/>
          </w:tcPr>
          <w:p>
            <w:pPr>
              <w:autoSpaceDN w:val="0"/>
              <w:spacing w:line="320" w:lineRule="exact"/>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公务用车运维费</w:t>
            </w:r>
          </w:p>
        </w:tc>
        <w:tc>
          <w:tcPr>
            <w:tcW w:w="1900" w:type="dxa"/>
            <w:gridSpan w:val="8"/>
            <w:vAlign w:val="center"/>
          </w:tcPr>
          <w:p>
            <w:pPr>
              <w:autoSpaceDN w:val="0"/>
              <w:spacing w:line="320" w:lineRule="exact"/>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公务用车购置费</w:t>
            </w:r>
          </w:p>
        </w:tc>
        <w:tc>
          <w:tcPr>
            <w:tcW w:w="2037" w:type="dxa"/>
            <w:gridSpan w:val="3"/>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1005.22</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2.44</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886.21</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116.57</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302.72</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0.67</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229.22</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72.83</w:t>
            </w:r>
          </w:p>
        </w:tc>
        <w:tc>
          <w:tcPr>
            <w:tcW w:w="2037" w:type="dxa"/>
            <w:gridSpan w:val="3"/>
            <w:vAlign w:val="center"/>
          </w:tcPr>
          <w:p>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51.36</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51.16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257.78</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0.28</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257.5</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8.67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1.06</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7.61</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302.47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0.06</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277.56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24.85</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82.15</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0.1</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63.16</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18.89</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525" w:type="dxa"/>
            <w:gridSpan w:val="2"/>
            <w:vAlign w:val="center"/>
          </w:tcPr>
          <w:p>
            <w:pPr>
              <w:spacing w:line="320" w:lineRule="exact"/>
              <w:ind w:left="210" w:hanging="210" w:hanging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0.07</w:t>
            </w:r>
          </w:p>
        </w:tc>
        <w:tc>
          <w:tcPr>
            <w:tcW w:w="1560" w:type="dxa"/>
            <w:gridSpan w:val="4"/>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0.07</w:t>
            </w:r>
          </w:p>
        </w:tc>
        <w:tc>
          <w:tcPr>
            <w:tcW w:w="1728" w:type="dxa"/>
            <w:gridSpan w:val="5"/>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00" w:type="dxa"/>
            <w:gridSpan w:val="8"/>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037" w:type="dxa"/>
            <w:gridSpan w:val="3"/>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6" w:hRule="atLeast"/>
          <w:jc w:val="center"/>
        </w:trPr>
        <w:tc>
          <w:tcPr>
            <w:tcW w:w="1525"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50" w:type="dxa"/>
            <w:gridSpan w:val="4"/>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284" w:type="dxa"/>
            <w:gridSpan w:val="1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39" w:hRule="atLeast"/>
          <w:jc w:val="center"/>
        </w:trPr>
        <w:tc>
          <w:tcPr>
            <w:tcW w:w="1525" w:type="dxa"/>
            <w:gridSpan w:val="2"/>
            <w:vMerge w:val="continue"/>
            <w:vAlign w:val="center"/>
          </w:tcPr>
          <w:p>
            <w:pPr>
              <w:spacing w:line="320" w:lineRule="exact"/>
              <w:jc w:val="center"/>
              <w:rPr>
                <w:rFonts w:ascii="仿宋_GB2312" w:hAnsi="仿宋_GB2312" w:eastAsia="仿宋_GB2312" w:cs="仿宋_GB2312"/>
                <w:sz w:val="24"/>
              </w:rPr>
            </w:pPr>
          </w:p>
        </w:tc>
        <w:tc>
          <w:tcPr>
            <w:tcW w:w="1050" w:type="dxa"/>
            <w:gridSpan w:val="4"/>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44" w:type="dxa"/>
            <w:gridSpan w:val="8"/>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140" w:type="dxa"/>
            <w:gridSpan w:val="11"/>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局机关</w:t>
            </w:r>
            <w:r>
              <w:rPr>
                <w:rFonts w:hint="eastAsia" w:ascii="仿宋_GB2312" w:hAnsi="仿宋_GB2312" w:eastAsia="仿宋_GB2312" w:cs="仿宋_GB2312"/>
                <w:sz w:val="21"/>
                <w:szCs w:val="21"/>
                <w:lang w:eastAsia="zh-CN"/>
              </w:rPr>
              <w:t>及二级</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机构汇总</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72223.43</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72223.43</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1"/>
                <w:szCs w:val="21"/>
                <w:lang w:val="en-US" w:eastAsia="zh-CN"/>
              </w:rPr>
              <w:t>1.市公安局  （本级）</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43215.76</w:t>
            </w:r>
          </w:p>
        </w:tc>
        <w:tc>
          <w:tcPr>
            <w:tcW w:w="3144" w:type="dxa"/>
            <w:gridSpan w:val="8"/>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43215.76</w:t>
            </w:r>
          </w:p>
        </w:tc>
        <w:tc>
          <w:tcPr>
            <w:tcW w:w="3140" w:type="dxa"/>
            <w:gridSpan w:val="11"/>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2.市公安局   君山分局</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2184.98</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2184.98</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shd w:val="clear" w:color="auto" w:fill="auto"/>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3.市公安局   岳阳楼分局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9443.06</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9443.06</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4.市公安局     森林警察支队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184.73</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184.73</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lang w:val="en-US" w:eastAsia="zh-CN"/>
              </w:rPr>
              <w:t>5.市公安局   交警支队</w:t>
            </w:r>
          </w:p>
        </w:tc>
        <w:tc>
          <w:tcPr>
            <w:tcW w:w="1050" w:type="dxa"/>
            <w:gridSpan w:val="4"/>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8338.4</w:t>
            </w:r>
          </w:p>
        </w:tc>
        <w:tc>
          <w:tcPr>
            <w:tcW w:w="3144" w:type="dxa"/>
            <w:gridSpan w:val="8"/>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8338.4</w:t>
            </w:r>
          </w:p>
        </w:tc>
        <w:tc>
          <w:tcPr>
            <w:tcW w:w="3140"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25" w:type="dxa"/>
            <w:gridSpan w:val="2"/>
            <w:shd w:val="clear" w:color="auto" w:fill="auto"/>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1"/>
                <w:szCs w:val="21"/>
                <w:lang w:val="en-US" w:eastAsia="zh-CN"/>
              </w:rPr>
              <w:t>6.市公安局    云溪分局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8856.43</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8856.43</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525" w:type="dxa"/>
            <w:gridSpan w:val="2"/>
            <w:shd w:val="clear" w:color="auto" w:fill="auto"/>
            <w:vAlign w:val="center"/>
          </w:tcPr>
          <w:p>
            <w:pPr>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7.市公安局   三荷机场分局</w:t>
            </w:r>
          </w:p>
        </w:tc>
        <w:tc>
          <w:tcPr>
            <w:tcW w:w="1050" w:type="dxa"/>
            <w:gridSpan w:val="4"/>
            <w:tcBorders>
              <w:righ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w:t>
            </w:r>
          </w:p>
        </w:tc>
        <w:tc>
          <w:tcPr>
            <w:tcW w:w="3144" w:type="dxa"/>
            <w:gridSpan w:val="8"/>
            <w:tcBorders>
              <w:left w:val="single" w:color="auto" w:sz="4" w:space="0"/>
            </w:tcBorders>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31.62</w:t>
            </w:r>
          </w:p>
        </w:tc>
        <w:tc>
          <w:tcPr>
            <w:tcW w:w="3140" w:type="dxa"/>
            <w:gridSpan w:val="1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整体支出绩效定性目标及实施计划完成情况</w:t>
            </w:r>
          </w:p>
        </w:tc>
        <w:tc>
          <w:tcPr>
            <w:tcW w:w="4109" w:type="dxa"/>
            <w:gridSpan w:val="12"/>
            <w:vAlign w:val="center"/>
          </w:tcPr>
          <w:p>
            <w:pPr>
              <w:autoSpaceDN w:val="0"/>
              <w:spacing w:line="32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预期目标</w:t>
            </w:r>
          </w:p>
        </w:tc>
        <w:tc>
          <w:tcPr>
            <w:tcW w:w="4250" w:type="dxa"/>
            <w:gridSpan w:val="13"/>
            <w:vAlign w:val="center"/>
          </w:tcPr>
          <w:p>
            <w:pPr>
              <w:autoSpaceDN w:val="0"/>
              <w:spacing w:line="320" w:lineRule="exact"/>
              <w:jc w:val="center"/>
              <w:textAlignment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11" w:hRule="atLeast"/>
          <w:jc w:val="center"/>
        </w:trPr>
        <w:tc>
          <w:tcPr>
            <w:tcW w:w="1441" w:type="dxa"/>
            <w:vMerge w:val="continue"/>
            <w:vAlign w:val="center"/>
          </w:tcPr>
          <w:p>
            <w:pPr>
              <w:spacing w:line="320" w:lineRule="exact"/>
              <w:rPr>
                <w:rFonts w:ascii="仿宋_GB2312" w:hAnsi="仿宋_GB2312" w:eastAsia="仿宋_GB2312" w:cs="仿宋_GB2312"/>
                <w:color w:val="FF0000"/>
                <w:sz w:val="24"/>
                <w:highlight w:val="none"/>
              </w:rPr>
            </w:pPr>
          </w:p>
        </w:tc>
        <w:tc>
          <w:tcPr>
            <w:tcW w:w="4109" w:type="dxa"/>
            <w:gridSpan w:val="12"/>
            <w:vAlign w:val="center"/>
          </w:tcPr>
          <w:p>
            <w:pPr>
              <w:autoSpaceDN w:val="0"/>
              <w:spacing w:line="360" w:lineRule="auto"/>
              <w:jc w:val="left"/>
              <w:textAlignment w:val="center"/>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市公安局：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社会治安总体良好，综合治理有效，环境改善。2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改善治安条件和办案效率，对维护经济环境起到积极作用。</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lang w:eastAsia="zh-CN"/>
              </w:rPr>
              <w:t>群众满意度提高。</w:t>
            </w:r>
          </w:p>
          <w:p>
            <w:pPr>
              <w:autoSpaceDN w:val="0"/>
              <w:spacing w:line="360" w:lineRule="auto"/>
              <w:jc w:val="left"/>
              <w:textAlignment w:val="center"/>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君山分局：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维护君山区良好的社会环境，保障</w:t>
            </w:r>
            <w:r>
              <w:rPr>
                <w:rFonts w:hint="eastAsia" w:ascii="仿宋" w:hAnsi="仿宋" w:eastAsia="仿宋" w:cs="仿宋_GB2312"/>
                <w:color w:val="auto"/>
                <w:sz w:val="24"/>
                <w:szCs w:val="24"/>
                <w:lang w:val="en-US" w:eastAsia="zh-CN"/>
              </w:rPr>
              <w:t>2021</w:t>
            </w:r>
            <w:r>
              <w:rPr>
                <w:rFonts w:hint="eastAsia" w:ascii="仿宋" w:hAnsi="仿宋" w:eastAsia="仿宋" w:cs="仿宋_GB2312"/>
                <w:color w:val="auto"/>
                <w:sz w:val="24"/>
                <w:szCs w:val="24"/>
                <w:lang w:eastAsia="zh-CN"/>
              </w:rPr>
              <w:t>年破案率的增长。2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开展各项专项行动，破大案要案。3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人民群众的安全感和对公安工作的满意度进一步提升。4</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继续开展打击侵财类犯罪的高压态势，使“两抢一盗”、“电信诈骗”等侵财型犯罪得到有限遏制。</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highlight w:val="none"/>
                <w:lang w:eastAsia="zh-CN"/>
              </w:rPr>
              <w:t>岳阳楼分局：</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维稳保安，确保两会、十九届五中全会等重大敏感节点的大局维定。2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开展全区扫黑除恶工作，完成部督、省督目标案件任务。3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进一步规范执法能力建设。4</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扎实做好城市快警工作，深入推进重点地区禁毒整治工作成效。5、加强公安民警业务装备配置。</w:t>
            </w:r>
            <w:r>
              <w:rPr>
                <w:rFonts w:hint="eastAsia" w:ascii="仿宋" w:hAnsi="仿宋" w:eastAsia="仿宋" w:cs="仿宋_GB2312"/>
                <w:color w:val="auto"/>
                <w:sz w:val="24"/>
                <w:szCs w:val="24"/>
                <w:lang w:val="en-US" w:eastAsia="zh-CN"/>
              </w:rPr>
              <w:t>6.开展长江大保护专项行动。7.</w:t>
            </w:r>
            <w:r>
              <w:rPr>
                <w:rFonts w:hint="eastAsia" w:ascii="仿宋" w:hAnsi="仿宋" w:eastAsia="仿宋" w:cs="仿宋_GB2312"/>
                <w:color w:val="auto"/>
                <w:sz w:val="24"/>
                <w:szCs w:val="24"/>
                <w:lang w:eastAsia="zh-CN"/>
              </w:rPr>
              <w:t>抗击疫情。</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森林警察支队：</w:t>
            </w:r>
            <w:r>
              <w:rPr>
                <w:rFonts w:hint="eastAsia" w:ascii="仿宋" w:hAnsi="仿宋" w:eastAsia="仿宋" w:cs="仿宋_GB2312"/>
                <w:color w:val="auto"/>
                <w:sz w:val="24"/>
                <w:szCs w:val="24"/>
                <w:lang w:eastAsia="zh-CN"/>
              </w:rPr>
              <w:t>1</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保障</w:t>
            </w:r>
            <w:r>
              <w:rPr>
                <w:rFonts w:hint="eastAsia" w:ascii="仿宋" w:hAnsi="仿宋" w:eastAsia="仿宋" w:cs="仿宋_GB2312"/>
                <w:color w:val="auto"/>
                <w:sz w:val="24"/>
                <w:szCs w:val="24"/>
                <w:lang w:val="en-US" w:eastAsia="zh-CN"/>
              </w:rPr>
              <w:t>民警工资福利待遇。</w:t>
            </w:r>
            <w:r>
              <w:rPr>
                <w:rFonts w:hint="eastAsia" w:ascii="仿宋" w:hAnsi="仿宋" w:eastAsia="仿宋" w:cs="仿宋_GB2312"/>
                <w:color w:val="auto"/>
                <w:sz w:val="24"/>
                <w:szCs w:val="24"/>
                <w:lang w:eastAsia="zh-CN"/>
              </w:rPr>
              <w:t>2</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改善执法办案条件。3</w:t>
            </w:r>
            <w:r>
              <w:rPr>
                <w:rFonts w:hint="eastAsia" w:ascii="仿宋" w:hAnsi="仿宋" w:eastAsia="仿宋" w:cs="仿宋_GB2312"/>
                <w:color w:val="auto"/>
                <w:sz w:val="24"/>
                <w:szCs w:val="24"/>
                <w:lang w:val="en-US" w:eastAsia="zh-CN"/>
              </w:rPr>
              <w:t>.</w:t>
            </w:r>
            <w:r>
              <w:rPr>
                <w:rFonts w:hint="eastAsia" w:ascii="仿宋" w:hAnsi="仿宋" w:eastAsia="仿宋" w:cs="仿宋_GB2312"/>
                <w:color w:val="auto"/>
                <w:sz w:val="24"/>
                <w:szCs w:val="24"/>
                <w:lang w:eastAsia="zh-CN"/>
              </w:rPr>
              <w:t>维护林区治安、保护森林和野生动植物资源，促进生态文明建设和经济社会可持续发展。</w:t>
            </w:r>
          </w:p>
          <w:p>
            <w:pPr>
              <w:numPr>
                <w:ilvl w:val="0"/>
                <w:numId w:val="0"/>
              </w:numPr>
              <w:spacing w:beforeLines="0" w:afterLines="0" w:line="360" w:lineRule="auto"/>
              <w:jc w:val="left"/>
              <w:rPr>
                <w:rFonts w:hint="eastAsia" w:ascii="仿宋" w:hAnsi="仿宋" w:eastAsia="仿宋" w:cs="仿宋_GB2312"/>
                <w:color w:val="auto"/>
                <w:sz w:val="24"/>
                <w:szCs w:val="24"/>
                <w:lang w:eastAsia="zh-CN"/>
              </w:rPr>
            </w:pPr>
            <w:r>
              <w:rPr>
                <w:rFonts w:hint="eastAsia" w:ascii="仿宋" w:hAnsi="仿宋" w:eastAsia="仿宋" w:cs="仿宋_GB2312"/>
                <w:b/>
                <w:bCs/>
                <w:color w:val="auto"/>
                <w:sz w:val="24"/>
                <w:szCs w:val="24"/>
                <w:lang w:eastAsia="zh-CN"/>
              </w:rPr>
              <w:t>交通警察支队：</w:t>
            </w:r>
            <w:r>
              <w:rPr>
                <w:rFonts w:hint="eastAsia" w:ascii="仿宋" w:hAnsi="仿宋" w:eastAsia="仿宋" w:cs="仿宋_GB2312"/>
                <w:color w:val="auto"/>
                <w:sz w:val="24"/>
                <w:szCs w:val="24"/>
                <w:lang w:eastAsia="zh-CN"/>
              </w:rPr>
              <w:t>深入推进事故预防“减量控大”、交通问题顽瘴痼疾整治、</w:t>
            </w:r>
            <w:r>
              <w:rPr>
                <w:rFonts w:hint="eastAsia" w:ascii="仿宋" w:hAnsi="仿宋" w:eastAsia="仿宋" w:cs="仿宋_GB2312"/>
                <w:color w:val="auto"/>
                <w:sz w:val="24"/>
                <w:szCs w:val="24"/>
                <w:lang w:val="en-US" w:eastAsia="zh-CN"/>
              </w:rPr>
              <w:t>持续开展“一盔一带”安全守护行动、持续优化智能交通系统、加强交通安全宣传教育</w:t>
            </w:r>
            <w:r>
              <w:rPr>
                <w:rFonts w:hint="eastAsia" w:ascii="仿宋" w:hAnsi="仿宋" w:eastAsia="仿宋" w:cs="仿宋_GB2312"/>
                <w:color w:val="auto"/>
                <w:sz w:val="24"/>
                <w:szCs w:val="24"/>
                <w:lang w:eastAsia="zh-CN"/>
              </w:rPr>
              <w:t>等工作，全面筑牢道路交通安全防线，着力打造大交管工作格局，确保全市道路交通安全、畅通、有序。</w:t>
            </w:r>
          </w:p>
          <w:p>
            <w:pPr>
              <w:pStyle w:val="2"/>
              <w:spacing w:line="360" w:lineRule="auto"/>
              <w:ind w:left="0" w:leftChars="0" w:firstLine="0" w:firstLineChars="0"/>
              <w:rPr>
                <w:rFonts w:hint="eastAsia"/>
                <w:b/>
                <w:bCs/>
                <w:sz w:val="24"/>
                <w:szCs w:val="24"/>
                <w:lang w:eastAsia="zh-CN"/>
              </w:rPr>
            </w:pPr>
            <w:r>
              <w:rPr>
                <w:rFonts w:hint="eastAsia" w:ascii="仿宋" w:hAnsi="仿宋" w:eastAsia="仿宋" w:cs="仿宋_GB2312"/>
                <w:b/>
                <w:bCs/>
                <w:color w:val="auto"/>
                <w:sz w:val="24"/>
                <w:szCs w:val="24"/>
                <w:lang w:eastAsia="zh-CN"/>
              </w:rPr>
              <w:t>三荷机场分局：</w:t>
            </w:r>
            <w:r>
              <w:rPr>
                <w:rFonts w:hint="eastAsia" w:ascii="仿宋_GB2312" w:hAnsi="仿宋" w:eastAsia="仿宋_GB2312" w:cs="仿宋_GB2312"/>
                <w:color w:val="000000"/>
                <w:sz w:val="24"/>
                <w:szCs w:val="24"/>
                <w:lang w:val="en-US" w:eastAsia="zh-CN"/>
              </w:rPr>
              <w:t>确</w:t>
            </w:r>
            <w:r>
              <w:rPr>
                <w:rFonts w:hint="eastAsia" w:ascii="仿宋" w:hAnsi="仿宋" w:eastAsia="仿宋" w:cs="仿宋_GB2312"/>
                <w:color w:val="auto"/>
                <w:kern w:val="2"/>
                <w:sz w:val="24"/>
                <w:szCs w:val="24"/>
                <w:lang w:val="en-US" w:eastAsia="zh-CN" w:bidi="ar-SA"/>
              </w:rPr>
              <w:t>保机场区域无重大案、事件发生；按质按量完成各项警保卫工作；对各项监督工作落实到位。</w:t>
            </w:r>
          </w:p>
          <w:p>
            <w:pPr>
              <w:pStyle w:val="4"/>
              <w:spacing w:line="360" w:lineRule="auto"/>
              <w:rPr>
                <w:rFonts w:hint="eastAsia" w:ascii="仿宋" w:hAnsi="仿宋" w:eastAsia="仿宋" w:cs="仿宋_GB2312"/>
                <w:b/>
                <w:bCs/>
                <w:color w:val="auto"/>
                <w:kern w:val="0"/>
                <w:sz w:val="24"/>
                <w:szCs w:val="24"/>
                <w:lang w:val="en-US" w:eastAsia="zh-CN" w:bidi="ar-SA"/>
              </w:rPr>
            </w:pPr>
            <w:r>
              <w:rPr>
                <w:rFonts w:hint="eastAsia" w:ascii="仿宋" w:hAnsi="仿宋" w:eastAsia="仿宋" w:cs="仿宋_GB2312"/>
                <w:b/>
                <w:bCs/>
                <w:color w:val="auto"/>
                <w:kern w:val="0"/>
                <w:sz w:val="24"/>
                <w:szCs w:val="24"/>
                <w:lang w:val="en-US" w:eastAsia="zh-CN" w:bidi="ar-SA"/>
              </w:rPr>
              <w:t>云溪分局：</w:t>
            </w:r>
            <w:r>
              <w:rPr>
                <w:rFonts w:hint="eastAsia" w:ascii="仿宋" w:hAnsi="仿宋" w:eastAsia="仿宋" w:cs="仿宋_GB2312"/>
                <w:color w:val="auto"/>
                <w:sz w:val="24"/>
                <w:szCs w:val="24"/>
                <w:lang w:eastAsia="zh-CN"/>
              </w:rPr>
              <w:t>改善治安条件和办案效率，</w:t>
            </w:r>
            <w:r>
              <w:rPr>
                <w:rFonts w:hint="eastAsia" w:ascii="仿宋_GB2312" w:hAnsi="仿宋" w:eastAsia="仿宋_GB2312" w:cs="仿宋_GB2312"/>
                <w:color w:val="000000"/>
                <w:sz w:val="24"/>
                <w:szCs w:val="24"/>
                <w:lang w:val="en-US" w:eastAsia="zh-CN"/>
              </w:rPr>
              <w:t>确</w:t>
            </w:r>
            <w:r>
              <w:rPr>
                <w:rFonts w:hint="eastAsia" w:ascii="仿宋" w:hAnsi="仿宋" w:eastAsia="仿宋" w:cs="仿宋_GB2312"/>
                <w:color w:val="auto"/>
                <w:kern w:val="2"/>
                <w:sz w:val="24"/>
                <w:szCs w:val="24"/>
                <w:lang w:val="en-US" w:eastAsia="zh-CN" w:bidi="ar-SA"/>
              </w:rPr>
              <w:t>保区域无重大案、事件发生；按质按量完成各项警保卫工作；对各项监督工作落实到位。</w:t>
            </w:r>
          </w:p>
          <w:p>
            <w:pPr>
              <w:pStyle w:val="4"/>
              <w:spacing w:line="360" w:lineRule="auto"/>
              <w:rPr>
                <w:rFonts w:hint="eastAsia" w:eastAsia="仿宋"/>
                <w:lang w:val="en-US" w:eastAsia="zh-CN"/>
              </w:rPr>
            </w:pPr>
          </w:p>
        </w:tc>
        <w:tc>
          <w:tcPr>
            <w:tcW w:w="4250" w:type="dxa"/>
            <w:gridSpan w:val="13"/>
            <w:vAlign w:val="center"/>
          </w:tcPr>
          <w:p>
            <w:pPr>
              <w:autoSpaceDN w:val="0"/>
              <w:spacing w:line="360" w:lineRule="auto"/>
              <w:jc w:val="left"/>
              <w:textAlignment w:val="center"/>
              <w:rPr>
                <w:rFonts w:hint="eastAsia" w:ascii="仿宋" w:hAnsi="仿宋" w:eastAsia="仿宋" w:cs="仿宋_GB2312"/>
                <w:color w:val="auto"/>
                <w:sz w:val="24"/>
                <w:szCs w:val="24"/>
                <w:highlight w:val="none"/>
                <w:lang w:val="en-US" w:eastAsia="zh-CN"/>
              </w:rPr>
            </w:pPr>
            <w:r>
              <w:rPr>
                <w:rFonts w:hint="eastAsia" w:ascii="仿宋" w:hAnsi="仿宋" w:eastAsia="仿宋" w:cs="仿宋_GB2312"/>
                <w:b/>
                <w:bCs/>
                <w:color w:val="auto"/>
                <w:sz w:val="24"/>
                <w:szCs w:val="24"/>
                <w:highlight w:val="none"/>
                <w:lang w:eastAsia="zh-CN"/>
              </w:rPr>
              <w:t>市公安局</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社会治安总体良好，综合治理有效，为全市经济发展提供了坚实保障</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lang w:eastAsia="zh-CN"/>
              </w:rPr>
              <w:t>.</w:t>
            </w:r>
            <w:r>
              <w:rPr>
                <w:rFonts w:hint="eastAsia" w:ascii="仿宋" w:hAnsi="仿宋" w:eastAsia="仿宋" w:cs="仿宋_GB2312"/>
                <w:color w:val="auto"/>
                <w:sz w:val="24"/>
                <w:szCs w:val="24"/>
                <w:lang w:eastAsia="zh-CN"/>
              </w:rPr>
              <w:t>打击“盗抢骗”、“黄赌毒”、“食药环”等违法犯罪，</w:t>
            </w:r>
            <w:r>
              <w:rPr>
                <w:rFonts w:hint="eastAsia" w:ascii="仿宋_GB2312" w:hAnsi="仿宋" w:eastAsia="仿宋_GB2312" w:cs="仿宋_GB2312"/>
                <w:color w:val="auto"/>
                <w:sz w:val="24"/>
                <w:szCs w:val="24"/>
                <w:lang w:eastAsia="zh-CN"/>
              </w:rPr>
              <w:t>常态化</w:t>
            </w:r>
            <w:r>
              <w:rPr>
                <w:rFonts w:hint="eastAsia" w:ascii="仿宋_GB2312" w:hAnsi="仿宋" w:eastAsia="仿宋_GB2312" w:cs="仿宋_GB2312"/>
                <w:color w:val="auto"/>
                <w:sz w:val="24"/>
                <w:szCs w:val="24"/>
              </w:rPr>
              <w:t>开展扫黑除恶斗争</w:t>
            </w:r>
            <w:r>
              <w:rPr>
                <w:rFonts w:hint="eastAsia" w:ascii="仿宋_GB2312" w:hAnsi="仿宋" w:eastAsia="仿宋_GB2312" w:cs="仿宋_GB2312"/>
                <w:color w:val="auto"/>
                <w:sz w:val="24"/>
                <w:szCs w:val="24"/>
                <w:lang w:eastAsia="zh-CN"/>
              </w:rPr>
              <w:t>，</w:t>
            </w:r>
            <w:r>
              <w:rPr>
                <w:rFonts w:hint="eastAsia" w:ascii="仿宋" w:hAnsi="仿宋" w:eastAsia="仿宋" w:cs="仿宋_GB2312"/>
                <w:color w:val="auto"/>
                <w:sz w:val="24"/>
                <w:szCs w:val="24"/>
                <w:highlight w:val="none"/>
                <w:lang w:eastAsia="zh-CN"/>
              </w:rPr>
              <w:t>有力维护了全市政治安全、社会安定、人民安宁。</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lang w:eastAsia="zh-CN"/>
              </w:rPr>
              <w:t>人民安全感、满意度提升，岳阳市</w:t>
            </w:r>
            <w:r>
              <w:rPr>
                <w:rFonts w:hint="eastAsia" w:ascii="仿宋" w:hAnsi="仿宋" w:eastAsia="仿宋" w:cs="仿宋_GB2312"/>
                <w:color w:val="auto"/>
                <w:sz w:val="24"/>
                <w:szCs w:val="24"/>
              </w:rPr>
              <w:t>公安</w:t>
            </w:r>
            <w:r>
              <w:rPr>
                <w:rFonts w:hint="eastAsia" w:ascii="仿宋" w:hAnsi="仿宋" w:eastAsia="仿宋" w:cs="仿宋_GB2312"/>
                <w:color w:val="auto"/>
                <w:sz w:val="24"/>
                <w:szCs w:val="24"/>
                <w:lang w:eastAsia="zh-CN"/>
              </w:rPr>
              <w:t>警务评议在全省综合排名第二，人民群众对社会治安和公安队伍评价分别达到</w:t>
            </w:r>
            <w:r>
              <w:rPr>
                <w:rFonts w:hint="eastAsia" w:ascii="仿宋" w:hAnsi="仿宋" w:eastAsia="仿宋" w:cs="仿宋_GB2312"/>
                <w:color w:val="auto"/>
                <w:sz w:val="24"/>
                <w:szCs w:val="24"/>
                <w:lang w:val="en-US" w:eastAsia="zh-CN"/>
              </w:rPr>
              <w:t>94.33分、90.83分</w:t>
            </w:r>
            <w:r>
              <w:rPr>
                <w:rFonts w:hint="eastAsia" w:ascii="仿宋" w:hAnsi="仿宋" w:eastAsia="仿宋" w:cs="仿宋_GB2312"/>
                <w:color w:val="auto"/>
                <w:sz w:val="24"/>
                <w:szCs w:val="24"/>
                <w:highlight w:val="none"/>
                <w:lang w:val="en-US" w:eastAsia="zh-CN"/>
              </w:rPr>
              <w:t>。</w:t>
            </w:r>
          </w:p>
          <w:p>
            <w:pPr>
              <w:pStyle w:val="4"/>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highlight w:val="none"/>
                <w:lang w:val="en-US" w:eastAsia="zh-CN"/>
              </w:rPr>
              <w:t>君山分局：</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kern w:val="2"/>
                <w:sz w:val="24"/>
                <w:szCs w:val="24"/>
                <w:highlight w:val="none"/>
                <w:lang w:val="en-US" w:eastAsia="zh-CN" w:bidi="ar-SA"/>
              </w:rPr>
              <w:t>开展“净风一号”专项行动、“洞庭清波百日会战”、打击缅北电信网络诈骗“犁庭”行动等大案要案行动。2.打击侵财类犯罪、“两抢一盗”“电信诈骗”等侵财型犯罪，犯罪数量显著减少。</w:t>
            </w:r>
            <w:r>
              <w:rPr>
                <w:rFonts w:hint="eastAsia" w:ascii="仿宋" w:hAnsi="仿宋" w:eastAsia="仿宋" w:cs="仿宋_GB2312"/>
                <w:color w:val="auto"/>
                <w:kern w:val="2"/>
                <w:sz w:val="24"/>
                <w:szCs w:val="24"/>
                <w:highlight w:val="none"/>
                <w:lang w:val="en-US" w:eastAsia="zh-CN" w:bidi="ar-SA"/>
              </w:rPr>
              <w:t>3.人民群众对公安工作的满意度达100%。</w:t>
            </w:r>
          </w:p>
          <w:p>
            <w:pPr>
              <w:pStyle w:val="4"/>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kern w:val="2"/>
                <w:sz w:val="24"/>
                <w:szCs w:val="24"/>
                <w:highlight w:val="none"/>
                <w:lang w:val="en-US" w:eastAsia="zh-CN" w:bidi="ar-SA"/>
              </w:rPr>
              <w:t>岳阳楼分局</w:t>
            </w:r>
            <w:r>
              <w:rPr>
                <w:rFonts w:hint="eastAsia" w:ascii="仿宋" w:hAnsi="仿宋" w:eastAsia="仿宋" w:cs="仿宋_GB2312"/>
                <w:color w:val="auto"/>
                <w:kern w:val="2"/>
                <w:sz w:val="24"/>
                <w:szCs w:val="24"/>
                <w:highlight w:val="none"/>
                <w:lang w:val="en-US" w:eastAsia="zh-CN" w:bidi="ar-SA"/>
              </w:rPr>
              <w:t>：圆满完成绩效目标任务，完成率100%。</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lang w:eastAsia="zh-CN"/>
              </w:rPr>
              <w:t>森林警察支队：</w:t>
            </w:r>
            <w:r>
              <w:rPr>
                <w:rFonts w:hint="eastAsia" w:ascii="仿宋" w:hAnsi="仿宋" w:eastAsia="仿宋" w:cs="仿宋_GB2312"/>
                <w:color w:val="auto"/>
                <w:kern w:val="2"/>
                <w:sz w:val="24"/>
                <w:szCs w:val="24"/>
                <w:highlight w:val="none"/>
                <w:lang w:val="en-US" w:eastAsia="zh-CN" w:bidi="ar-SA"/>
              </w:rPr>
              <w:t>1.完成非税一般罚没收入任务22.34万元；2.更新购置警用及日常办公设备，改善了民警执法办案条件；3.有力维护林区治安，保护森林和野生动植物资源。</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sz w:val="24"/>
                <w:szCs w:val="24"/>
                <w:lang w:eastAsia="zh-CN"/>
              </w:rPr>
              <w:t>交通警察支队：</w:t>
            </w:r>
            <w:r>
              <w:rPr>
                <w:rFonts w:hint="eastAsia" w:ascii="仿宋" w:hAnsi="仿宋" w:eastAsia="仿宋" w:cs="仿宋_GB2312"/>
                <w:color w:val="auto"/>
                <w:kern w:val="2"/>
                <w:sz w:val="24"/>
                <w:szCs w:val="24"/>
                <w:highlight w:val="none"/>
                <w:lang w:val="en-US" w:eastAsia="zh-CN" w:bidi="ar-SA"/>
              </w:rPr>
              <w:t>省市督办的突出风险路段整改率99.85%，全市重点运输企业备案率100%，事故死亡人数较2019和2020年两年平均下降0.4%，全市较大以上交通事故“零发生”。全市开展各类专项整治行动400余次，查纠各类交通违法124.9万余起，摩托车、电动车头盔佩戴率由年初52%提升至90%；完成37个重点部门的交通组织“微改造”。开展“美丽乡村行”交通安全巡回宣讲148场次、“七进”宣传活动2048场次等。</w:t>
            </w:r>
          </w:p>
          <w:p>
            <w:pPr>
              <w:autoSpaceDN w:val="0"/>
              <w:spacing w:line="360" w:lineRule="auto"/>
              <w:jc w:val="left"/>
              <w:textAlignment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b/>
                <w:bCs/>
                <w:color w:val="auto"/>
                <w:kern w:val="2"/>
                <w:sz w:val="24"/>
                <w:szCs w:val="24"/>
                <w:highlight w:val="none"/>
                <w:lang w:val="en-US" w:eastAsia="zh-CN" w:bidi="ar-SA"/>
              </w:rPr>
              <w:t>三荷机场分局：</w:t>
            </w:r>
            <w:r>
              <w:rPr>
                <w:rFonts w:hint="eastAsia" w:ascii="仿宋" w:hAnsi="仿宋" w:eastAsia="仿宋" w:cs="仿宋_GB2312"/>
                <w:color w:val="auto"/>
                <w:kern w:val="2"/>
                <w:sz w:val="24"/>
                <w:szCs w:val="24"/>
                <w:highlight w:val="none"/>
                <w:lang w:val="en-US" w:eastAsia="zh-CN" w:bidi="ar-SA"/>
              </w:rPr>
              <w:t>确保了机场区域无重大案、事件发生；按质按量完成了各项警保卫工作；加大基础投入，完善设施建设；全面落实基层基础工作，加强基础建设；开展反恐业务学习活动，完成航空器突发事件应急救援综合演练；维护机场周围社会稳定。</w:t>
            </w:r>
          </w:p>
          <w:p>
            <w:pPr>
              <w:pStyle w:val="2"/>
              <w:spacing w:line="36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 w:hAnsi="仿宋" w:eastAsia="仿宋" w:cs="仿宋_GB2312"/>
                <w:b/>
                <w:bCs/>
                <w:color w:val="auto"/>
                <w:kern w:val="2"/>
                <w:sz w:val="24"/>
                <w:szCs w:val="24"/>
                <w:highlight w:val="none"/>
                <w:lang w:val="en-US" w:eastAsia="zh-CN" w:bidi="ar-SA"/>
              </w:rPr>
              <w:t>云溪分局：</w:t>
            </w:r>
            <w:r>
              <w:rPr>
                <w:rFonts w:hint="eastAsia" w:ascii="仿宋_GB2312" w:hAnsi="仿宋_GB2312" w:eastAsia="仿宋_GB2312" w:cs="仿宋_GB2312"/>
                <w:color w:val="000000"/>
                <w:sz w:val="24"/>
                <w:szCs w:val="24"/>
              </w:rPr>
              <w:t>按时完成工作任务</w:t>
            </w:r>
            <w:r>
              <w:rPr>
                <w:rFonts w:hint="eastAsia" w:ascii="仿宋_GB2312" w:hAnsi="仿宋_GB2312" w:eastAsia="仿宋_GB2312" w:cs="仿宋_GB2312"/>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3"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整体支出</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绩效定量目标及实施计划完成情况</w:t>
            </w:r>
          </w:p>
        </w:tc>
        <w:tc>
          <w:tcPr>
            <w:tcW w:w="2547"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评价内容</w:t>
            </w:r>
          </w:p>
        </w:tc>
        <w:tc>
          <w:tcPr>
            <w:tcW w:w="3141"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绩效目标</w:t>
            </w:r>
          </w:p>
        </w:tc>
        <w:tc>
          <w:tcPr>
            <w:tcW w:w="2671" w:type="dxa"/>
            <w:gridSpan w:val="7"/>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5"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产出目标</w:t>
            </w:r>
          </w:p>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highlight w:val="none"/>
              </w:rPr>
              <w:t>质量指标</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yellow"/>
                <w:lang w:eastAsia="zh-CN"/>
              </w:rPr>
            </w:pPr>
            <w:r>
              <w:rPr>
                <w:rFonts w:hint="eastAsia" w:ascii="仿宋_GB2312" w:hAnsi="仿宋_GB2312" w:eastAsia="仿宋_GB2312" w:cs="仿宋_GB2312"/>
                <w:color w:val="000000"/>
                <w:sz w:val="21"/>
                <w:szCs w:val="21"/>
                <w:highlight w:val="none"/>
              </w:rPr>
              <w:t>本年度现行案件破案率达到2021年度目标任务指导数</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continue"/>
            <w:tcBorders/>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Cs w:val="21"/>
                <w:lang w:val="en-US" w:eastAsia="zh-CN"/>
              </w:rPr>
              <w:t>省市督办的突出风险路段整改率99.85%，全市重点运输企业备案率100%，“两客一危一货”重点车辆驾驶人违法“清零”率100%。</w:t>
            </w:r>
            <w:r>
              <w:rPr>
                <w:rFonts w:hint="eastAsia" w:ascii="仿宋_GB2312" w:hAnsi="仿宋_GB2312" w:eastAsia="仿宋_GB2312" w:cs="仿宋_GB2312"/>
                <w:szCs w:val="21"/>
                <w:lang w:val="en-US" w:eastAsia="zh-CN"/>
              </w:rPr>
              <w:t>摩托车、电动车头盔佩戴率由年初52%提升至90%。线上处理快处快赔占主城区业务总量81.07%。现场执法重点未办结案件清理率大96.7%</w:t>
            </w:r>
            <w:r>
              <w:rPr>
                <w:rFonts w:hint="eastAsia" w:ascii="仿宋_GB2312" w:hAnsi="仿宋_GB2312" w:eastAsia="仿宋_GB2312" w:cs="仿宋_GB2312"/>
                <w:color w:val="000000"/>
                <w:szCs w:val="21"/>
              </w:rPr>
              <w:t xml:space="preserve"> </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color w:val="000000"/>
                <w:szCs w:val="21"/>
              </w:rPr>
              <w:t xml:space="preserve">按时完成工作任务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25" w:type="dxa"/>
            <w:gridSpan w:val="4"/>
            <w:vMerge w:val="continue"/>
            <w:tcBorders/>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森林火灾受害率降低</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b w:val="0"/>
                <w:bCs/>
                <w:color w:val="000000"/>
                <w:sz w:val="21"/>
                <w:szCs w:val="21"/>
                <w:lang w:eastAsia="zh-CN"/>
              </w:rPr>
              <w:t>受</w:t>
            </w:r>
            <w:r>
              <w:rPr>
                <w:rFonts w:hint="eastAsia" w:ascii="仿宋_GB2312" w:hAnsi="仿宋_GB2312" w:eastAsia="仿宋_GB2312" w:cs="仿宋_GB2312"/>
                <w:color w:val="000000"/>
                <w:sz w:val="21"/>
                <w:szCs w:val="21"/>
                <w:highlight w:val="none"/>
                <w:lang w:eastAsia="zh-CN"/>
              </w:rPr>
              <w:t>害率降低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51"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数量指标</w:t>
            </w:r>
          </w:p>
        </w:tc>
        <w:tc>
          <w:tcPr>
            <w:tcW w:w="3141" w:type="dxa"/>
            <w:gridSpan w:val="10"/>
            <w:vAlign w:val="center"/>
          </w:tcPr>
          <w:p>
            <w:pPr>
              <w:autoSpaceDN w:val="0"/>
              <w:spacing w:line="240" w:lineRule="auto"/>
              <w:jc w:val="left"/>
              <w:textAlignment w:val="center"/>
              <w:rPr>
                <w:rFonts w:hint="default" w:eastAsia="仿宋_GB2312"/>
                <w:lang w:val="en-US" w:eastAsia="zh-CN"/>
              </w:rPr>
            </w:pPr>
            <w:r>
              <w:rPr>
                <w:rFonts w:hint="eastAsia" w:ascii="仿宋_GB2312" w:hAnsi="仿宋_GB2312" w:eastAsia="仿宋_GB2312" w:cs="仿宋_GB2312"/>
                <w:color w:val="000000"/>
                <w:sz w:val="21"/>
                <w:szCs w:val="21"/>
                <w:highlight w:val="none"/>
              </w:rPr>
              <w:t>完成省厅5项专项工作，配合省厅完成专项行动；重点人员在控率70%；</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15"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continue"/>
            <w:tcBorders/>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eastAsia="仿宋_GB2312"/>
                <w:szCs w:val="21"/>
                <w:lang w:val="en-US" w:eastAsia="zh-CN"/>
              </w:rPr>
              <w:t>省整治办交办的98台“大吨小标”、104台“违法王”车辆全部整改，全市较大以上交通事故“零发生”。</w:t>
            </w:r>
            <w:r>
              <w:rPr>
                <w:rFonts w:hint="eastAsia" w:ascii="仿宋_GB2312" w:hAnsi="仿宋_GB2312" w:eastAsia="仿宋_GB2312" w:cs="仿宋_GB2312"/>
                <w:szCs w:val="21"/>
              </w:rPr>
              <w:t>全市</w:t>
            </w:r>
            <w:r>
              <w:rPr>
                <w:rFonts w:hint="eastAsia" w:ascii="仿宋_GB2312" w:hAnsi="仿宋_GB2312" w:eastAsia="仿宋_GB2312" w:cs="仿宋_GB2312"/>
                <w:szCs w:val="21"/>
                <w:lang w:val="en-US" w:eastAsia="zh-CN"/>
              </w:rPr>
              <w:t>开展各类专项整治行动400余次，查纠各类交通违法124.9万余起。对94个路口细化配时方案685个，进行配时调整1850余次。开设宣传阵地635个，发放宣传单12万余次，为群众出行发布路况提示420万余次。市政府政务中心“只跑一次”车驾管业务种类大38中，为群众提供服务85万余次。</w:t>
            </w:r>
          </w:p>
        </w:tc>
        <w:tc>
          <w:tcPr>
            <w:tcW w:w="2671" w:type="dxa"/>
            <w:gridSpan w:val="7"/>
            <w:vAlign w:val="center"/>
          </w:tcPr>
          <w:p>
            <w:pPr>
              <w:spacing w:line="240" w:lineRule="auto"/>
              <w:jc w:val="center"/>
              <w:rPr>
                <w:rFonts w:hint="eastAsia" w:ascii="仿宋_GB2312" w:hAnsi="宋体" w:eastAsia="仿宋_GB2312" w:cs="宋体"/>
                <w:szCs w:val="21"/>
              </w:rPr>
            </w:pPr>
            <w:r>
              <w:rPr>
                <w:rFonts w:hint="eastAsia" w:ascii="仿宋_GB2312" w:eastAsia="仿宋_GB2312"/>
                <w:szCs w:val="21"/>
              </w:rPr>
              <w:t>按时按质完成各项工作任务</w:t>
            </w:r>
          </w:p>
          <w:p>
            <w:pPr>
              <w:autoSpaceDN w:val="0"/>
              <w:spacing w:line="240" w:lineRule="auto"/>
              <w:jc w:val="left"/>
              <w:textAlignment w:val="center"/>
              <w:rPr>
                <w:rFonts w:hint="eastAsia" w:ascii="仿宋_GB2312" w:hAnsi="仿宋_GB2312" w:eastAsia="仿宋_GB2312" w:cs="仿宋_GB2312"/>
                <w:bCs/>
                <w:color w:val="00000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2"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Merge w:val="continue"/>
            <w:tcBorders/>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p>
        </w:tc>
        <w:tc>
          <w:tcPr>
            <w:tcW w:w="3141" w:type="dxa"/>
            <w:gridSpan w:val="10"/>
            <w:vAlign w:val="center"/>
          </w:tcPr>
          <w:p>
            <w:pPr>
              <w:autoSpaceDN w:val="0"/>
              <w:spacing w:line="240" w:lineRule="auto"/>
              <w:jc w:val="left"/>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强制戒毒执行率达90%</w:t>
            </w:r>
          </w:p>
        </w:tc>
        <w:tc>
          <w:tcPr>
            <w:tcW w:w="2671" w:type="dxa"/>
            <w:gridSpan w:val="7"/>
            <w:vAlign w:val="center"/>
          </w:tcPr>
          <w:p>
            <w:pPr>
              <w:autoSpaceDN w:val="0"/>
              <w:spacing w:line="240" w:lineRule="auto"/>
              <w:jc w:val="left"/>
              <w:textAlignment w:val="center"/>
              <w:rPr>
                <w:rFonts w:hint="default"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eastAsia="zh-CN"/>
              </w:rPr>
              <w:t>完成率</w:t>
            </w:r>
            <w:r>
              <w:rPr>
                <w:rFonts w:hint="eastAsia" w:ascii="仿宋_GB2312" w:hAnsi="仿宋_GB2312" w:eastAsia="仿宋_GB2312" w:cs="仿宋_GB2312"/>
                <w:bCs/>
                <w:color w:val="000000"/>
                <w:sz w:val="21"/>
                <w:szCs w:val="21"/>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时效指标</w:t>
            </w:r>
          </w:p>
        </w:tc>
        <w:tc>
          <w:tcPr>
            <w:tcW w:w="3141" w:type="dxa"/>
            <w:gridSpan w:val="10"/>
            <w:vAlign w:val="center"/>
          </w:tcPr>
          <w:p>
            <w:pPr>
              <w:autoSpaceDN w:val="0"/>
              <w:spacing w:line="240" w:lineRule="auto"/>
              <w:jc w:val="left"/>
              <w:textAlignment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2021年年底之前</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b/>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按期完成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yellow"/>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成本指标</w:t>
            </w:r>
          </w:p>
        </w:tc>
        <w:tc>
          <w:tcPr>
            <w:tcW w:w="3141" w:type="dxa"/>
            <w:gridSpan w:val="10"/>
            <w:vAlign w:val="center"/>
          </w:tcPr>
          <w:p>
            <w:pPr>
              <w:autoSpaceDN w:val="0"/>
              <w:spacing w:line="240" w:lineRule="auto"/>
              <w:jc w:val="left"/>
              <w:textAlignment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预算内资金</w:t>
            </w:r>
          </w:p>
        </w:tc>
        <w:tc>
          <w:tcPr>
            <w:tcW w:w="2671" w:type="dxa"/>
            <w:gridSpan w:val="7"/>
            <w:vAlign w:val="center"/>
          </w:tcPr>
          <w:p>
            <w:pPr>
              <w:autoSpaceDN w:val="0"/>
              <w:spacing w:line="240" w:lineRule="auto"/>
              <w:jc w:val="left"/>
              <w:textAlignment w:val="center"/>
              <w:rPr>
                <w:rFonts w:ascii="仿宋_GB2312" w:hAnsi="仿宋_GB2312" w:eastAsia="仿宋_GB2312" w:cs="仿宋_GB2312"/>
                <w:b/>
                <w:color w:val="000000"/>
                <w:sz w:val="21"/>
                <w:szCs w:val="21"/>
                <w:highlight w:val="none"/>
              </w:rPr>
            </w:pPr>
            <w:r>
              <w:rPr>
                <w:rFonts w:hint="eastAsia" w:ascii="仿宋_GB2312" w:hAnsi="仿宋_GB2312" w:eastAsia="仿宋_GB2312" w:cs="仿宋_GB2312"/>
                <w:bCs/>
                <w:color w:val="000000"/>
                <w:sz w:val="21"/>
                <w:szCs w:val="21"/>
                <w:highlight w:val="none"/>
              </w:rPr>
              <w:t>预算控制内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37"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效益目标</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（预期实现的效益）</w:t>
            </w: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1.预防、制止和侦查违法犯罪活动、维护社会治安秩序，制止危害社会治安秩序的行为；2.依法稳妥维护好全市政治大局稳定</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深入开展扫黑除恶专项斗争、集打斗争；持续向传统“盗抢骗”犯罪发起凌厉攻势，有力维护了全市政治安全、社会安定、人民安宁。</w:t>
            </w:r>
          </w:p>
          <w:p>
            <w:pPr>
              <w:autoSpaceDN w:val="0"/>
              <w:spacing w:line="240" w:lineRule="auto"/>
              <w:jc w:val="left"/>
              <w:textAlignment w:val="center"/>
              <w:rPr>
                <w:rFonts w:hint="eastAsia" w:ascii="仿宋_GB2312" w:hAnsi="仿宋_GB2312" w:eastAsia="仿宋_GB2312" w:cs="仿宋_GB231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经济效益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1、为全市经济社会发展保驾护航。</w:t>
            </w:r>
          </w:p>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2、有效利用各项经费，取得最大的战果。</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1、社会治安总体良好，综合治理有效，为全市经济发展提供了坚实保障。</w:t>
            </w:r>
          </w:p>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2、厉行节约，严控三公经费支出，严格压减一般性支出，有效提升了资金使用效率。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生态效益</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加大食药环案件办理力度，打击非法采砂，改善洞庭湖水域环境。</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办理了多起非法采砂、非法捕捞案件,有效遏制了洞庭湖、长江流域非法采砂及捕捞的猖狂之势，保护了洞庭水域的生态环境。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122" w:type="dxa"/>
            <w:gridSpan w:val="4"/>
            <w:vMerge w:val="continue"/>
            <w:vAlign w:val="center"/>
          </w:tcPr>
          <w:p>
            <w:pPr>
              <w:autoSpaceDN w:val="0"/>
              <w:spacing w:line="320" w:lineRule="exact"/>
              <w:rPr>
                <w:rFonts w:ascii="仿宋_GB2312" w:hAnsi="仿宋_GB2312" w:eastAsia="仿宋_GB2312" w:cs="仿宋_GB2312"/>
                <w:sz w:val="24"/>
                <w:highlight w:val="none"/>
              </w:rPr>
            </w:pPr>
          </w:p>
        </w:tc>
        <w:tc>
          <w:tcPr>
            <w:tcW w:w="1425"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社会公众或服务对象满意度</w:t>
            </w:r>
          </w:p>
        </w:tc>
        <w:tc>
          <w:tcPr>
            <w:tcW w:w="3141" w:type="dxa"/>
            <w:gridSpan w:val="10"/>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群众满意度提高</w:t>
            </w:r>
          </w:p>
        </w:tc>
        <w:tc>
          <w:tcPr>
            <w:tcW w:w="2671" w:type="dxa"/>
            <w:gridSpan w:val="7"/>
            <w:vAlign w:val="center"/>
          </w:tcPr>
          <w:p>
            <w:pPr>
              <w:autoSpaceDN w:val="0"/>
              <w:spacing w:line="240" w:lineRule="auto"/>
              <w:jc w:val="lef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岳阳市公安警务评议在全省综合排名第二，人民群众对社会治安和公安队伍评价分别达到94.33分、90.83分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2563" w:type="dxa"/>
            <w:gridSpan w:val="5"/>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绩效自评综合得分</w:t>
            </w:r>
          </w:p>
        </w:tc>
        <w:tc>
          <w:tcPr>
            <w:tcW w:w="7237" w:type="dxa"/>
            <w:gridSpan w:val="21"/>
            <w:shd w:val="clear" w:color="auto" w:fill="auto"/>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shd w:val="clear"/>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7" w:hRule="atLeast"/>
          <w:jc w:val="center"/>
        </w:trPr>
        <w:tc>
          <w:tcPr>
            <w:tcW w:w="2563" w:type="dxa"/>
            <w:gridSpan w:val="5"/>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评价等次</w:t>
            </w:r>
          </w:p>
        </w:tc>
        <w:tc>
          <w:tcPr>
            <w:tcW w:w="7237" w:type="dxa"/>
            <w:gridSpan w:val="21"/>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7" w:hRule="atLeast"/>
          <w:jc w:val="center"/>
        </w:trPr>
        <w:tc>
          <w:tcPr>
            <w:tcW w:w="9800" w:type="dxa"/>
            <w:gridSpan w:val="2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6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956"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95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3" w:hRule="atLeast"/>
          <w:jc w:val="center"/>
        </w:trPr>
        <w:tc>
          <w:tcPr>
            <w:tcW w:w="1763" w:type="dxa"/>
            <w:gridSpan w:val="4"/>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李劲松</w:t>
            </w:r>
          </w:p>
        </w:tc>
        <w:tc>
          <w:tcPr>
            <w:tcW w:w="3956" w:type="dxa"/>
            <w:gridSpan w:val="10"/>
            <w:vAlign w:val="center"/>
          </w:tcPr>
          <w:p>
            <w:pPr>
              <w:autoSpaceDN w:val="0"/>
              <w:spacing w:line="320" w:lineRule="exact"/>
              <w:jc w:val="center"/>
              <w:textAlignment w:val="center"/>
              <w:rPr>
                <w:rFonts w:ascii="仿宋" w:hAnsi="仿宋" w:eastAsia="仿宋" w:cs="仿宋_GB2312"/>
                <w:color w:val="000000"/>
                <w:sz w:val="24"/>
              </w:rPr>
            </w:pPr>
            <w:r>
              <w:rPr>
                <w:rFonts w:ascii="仿宋" w:hAnsi="仿宋" w:eastAsia="仿宋" w:cs="仿宋_GB2312"/>
                <w:color w:val="000000"/>
                <w:sz w:val="24"/>
              </w:rPr>
              <w:t>岳阳市人民政府副市长、</w:t>
            </w:r>
          </w:p>
          <w:p>
            <w:pPr>
              <w:autoSpaceDN w:val="0"/>
              <w:spacing w:line="320" w:lineRule="exact"/>
              <w:jc w:val="center"/>
              <w:textAlignment w:val="center"/>
              <w:rPr>
                <w:rFonts w:ascii="仿宋" w:hAnsi="仿宋" w:eastAsia="仿宋" w:cs="仿宋_GB2312"/>
                <w:color w:val="000000"/>
                <w:sz w:val="24"/>
              </w:rPr>
            </w:pPr>
            <w:r>
              <w:rPr>
                <w:rFonts w:ascii="仿宋" w:hAnsi="仿宋" w:eastAsia="仿宋" w:cs="仿宋_GB2312"/>
                <w:color w:val="000000"/>
                <w:sz w:val="24"/>
              </w:rPr>
              <w:t>市局党委书记、公安局长</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1" w:hRule="atLeast"/>
          <w:jc w:val="center"/>
        </w:trPr>
        <w:tc>
          <w:tcPr>
            <w:tcW w:w="1763" w:type="dxa"/>
            <w:gridSpan w:val="4"/>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许雄</w:t>
            </w:r>
          </w:p>
        </w:tc>
        <w:tc>
          <w:tcPr>
            <w:tcW w:w="3956" w:type="dxa"/>
            <w:gridSpan w:val="10"/>
            <w:vAlign w:val="center"/>
          </w:tcPr>
          <w:p>
            <w:pPr>
              <w:autoSpaceDN w:val="0"/>
              <w:spacing w:line="320" w:lineRule="exact"/>
              <w:jc w:val="center"/>
              <w:textAlignment w:val="center"/>
              <w:rPr>
                <w:rFonts w:hint="eastAsia" w:ascii="仿宋" w:hAnsi="仿宋" w:eastAsia="仿宋" w:cs="仿宋_GB2312"/>
                <w:color w:val="000000"/>
                <w:sz w:val="24"/>
                <w:lang w:eastAsia="zh-CN"/>
              </w:rPr>
            </w:pPr>
            <w:r>
              <w:rPr>
                <w:rFonts w:hint="eastAsia" w:ascii="仿宋" w:hAnsi="仿宋" w:eastAsia="仿宋" w:cs="仿宋_GB2312"/>
                <w:color w:val="auto"/>
                <w:sz w:val="24"/>
                <w:lang w:eastAsia="zh-CN"/>
              </w:rPr>
              <w:t>市局党委副书记、常务副局长</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8" w:hRule="atLeast"/>
          <w:jc w:val="center"/>
        </w:trPr>
        <w:tc>
          <w:tcPr>
            <w:tcW w:w="1763" w:type="dxa"/>
            <w:gridSpan w:val="4"/>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殷瑛</w:t>
            </w:r>
          </w:p>
        </w:tc>
        <w:tc>
          <w:tcPr>
            <w:tcW w:w="3956" w:type="dxa"/>
            <w:gridSpan w:val="10"/>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lang w:eastAsia="zh-CN"/>
              </w:rPr>
              <w:t>市局</w:t>
            </w:r>
            <w:r>
              <w:rPr>
                <w:rFonts w:hint="eastAsia" w:ascii="仿宋" w:hAnsi="仿宋" w:eastAsia="仿宋" w:cs="仿宋_GB2312"/>
                <w:color w:val="000000"/>
                <w:sz w:val="24"/>
              </w:rPr>
              <w:t>警务保障处主任</w:t>
            </w:r>
          </w:p>
        </w:tc>
        <w:tc>
          <w:tcPr>
            <w:tcW w:w="1956" w:type="dxa"/>
            <w:gridSpan w:val="8"/>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212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12" w:hRule="atLeast"/>
          <w:jc w:val="center"/>
        </w:trPr>
        <w:tc>
          <w:tcPr>
            <w:tcW w:w="9800" w:type="dxa"/>
            <w:gridSpan w:val="2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2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55" w:hRule="atLeast"/>
          <w:jc w:val="center"/>
        </w:trPr>
        <w:tc>
          <w:tcPr>
            <w:tcW w:w="9800" w:type="dxa"/>
            <w:gridSpan w:val="2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eastAsia="仿宋_GB2312"/>
                <w:sz w:val="24"/>
              </w:rPr>
            </w:pPr>
            <w:r>
              <w:rPr>
                <w:rFonts w:hint="eastAsia" w:eastAsia="仿宋_GB2312"/>
                <w:sz w:val="24"/>
              </w:rPr>
              <w:t xml:space="preserve">                                                                 年    月   日</w:t>
            </w:r>
          </w:p>
          <w:p>
            <w:pPr>
              <w:autoSpaceDN w:val="0"/>
              <w:spacing w:line="320" w:lineRule="exact"/>
              <w:jc w:val="left"/>
              <w:textAlignment w:val="center"/>
              <w:rPr>
                <w:rFonts w:hint="eastAsia" w:eastAsia="仿宋_GB2312"/>
                <w:sz w:val="24"/>
              </w:rPr>
            </w:pPr>
          </w:p>
        </w:tc>
      </w:tr>
    </w:tbl>
    <w:p>
      <w:pPr>
        <w:rPr>
          <w:rFonts w:eastAsia="仿宋_GB2312" w:cs="仿宋_GB2312"/>
          <w:bCs/>
          <w:sz w:val="24"/>
          <w:szCs w:val="24"/>
        </w:rPr>
      </w:pPr>
      <w:r>
        <w:rPr>
          <w:rFonts w:hint="eastAsia" w:eastAsia="仿宋_GB2312" w:cs="仿宋_GB2312"/>
          <w:bCs/>
          <w:sz w:val="24"/>
          <w:szCs w:val="24"/>
        </w:rPr>
        <w:t>填报人（签名）：</w:t>
      </w:r>
      <w:r>
        <w:rPr>
          <w:rFonts w:hint="eastAsia" w:eastAsia="仿宋_GB2312" w:cs="仿宋_GB2312"/>
          <w:bCs/>
          <w:sz w:val="24"/>
          <w:szCs w:val="24"/>
          <w:lang w:eastAsia="zh-CN"/>
        </w:rPr>
        <w:t>王冬逸</w:t>
      </w:r>
      <w:r>
        <w:rPr>
          <w:rFonts w:hint="eastAsia" w:eastAsia="仿宋_GB2312" w:cs="仿宋_GB2312"/>
          <w:bCs/>
          <w:sz w:val="24"/>
          <w:szCs w:val="24"/>
        </w:rPr>
        <w:t xml:space="preserve">                       联系电话：8619</w:t>
      </w:r>
      <w:r>
        <w:rPr>
          <w:rFonts w:hint="eastAsia" w:eastAsia="仿宋_GB2312" w:cs="仿宋_GB2312"/>
          <w:bCs/>
          <w:sz w:val="24"/>
          <w:szCs w:val="24"/>
          <w:lang w:val="en-US" w:eastAsia="zh-CN"/>
        </w:rPr>
        <w:t>0</w:t>
      </w:r>
      <w:r>
        <w:rPr>
          <w:rFonts w:hint="eastAsia" w:eastAsia="仿宋_GB2312" w:cs="仿宋_GB2312"/>
          <w:bCs/>
          <w:sz w:val="24"/>
          <w:szCs w:val="24"/>
        </w:rPr>
        <w:t>18</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77" w:hRule="atLeast"/>
          <w:jc w:val="center"/>
        </w:trPr>
        <w:tc>
          <w:tcPr>
            <w:tcW w:w="9558" w:type="dxa"/>
          </w:tcPr>
          <w:p>
            <w:pPr>
              <w:pStyle w:val="4"/>
              <w:jc w:val="center"/>
              <w:rPr>
                <w:rFonts w:hint="eastAsia"/>
                <w:b/>
                <w:bCs/>
                <w:sz w:val="28"/>
                <w:szCs w:val="28"/>
                <w:lang w:val="en-US" w:eastAsia="zh-CN"/>
              </w:rPr>
            </w:pPr>
            <w:r>
              <w:rPr>
                <w:rFonts w:hint="eastAsia"/>
                <w:b/>
                <w:bCs/>
                <w:sz w:val="28"/>
                <w:szCs w:val="28"/>
                <w:lang w:val="en-US" w:eastAsia="zh-CN"/>
              </w:rPr>
              <w:t>五、评价报告综述</w:t>
            </w:r>
          </w:p>
          <w:p>
            <w:pPr>
              <w:spacing w:line="560" w:lineRule="exact"/>
              <w:ind w:firstLine="481" w:firstLineChars="200"/>
              <w:rPr>
                <w:rFonts w:hint="eastAsia" w:ascii="仿宋" w:hAnsi="仿宋" w:eastAsia="仿宋" w:cs="仿宋"/>
                <w:b/>
                <w:bCs w:val="0"/>
                <w:sz w:val="24"/>
                <w:szCs w:val="24"/>
              </w:rPr>
            </w:pPr>
            <w:r>
              <w:rPr>
                <w:rFonts w:hint="eastAsia" w:ascii="仿宋" w:hAnsi="仿宋" w:eastAsia="仿宋" w:cs="仿宋"/>
                <w:b/>
                <w:bCs w:val="0"/>
                <w:sz w:val="24"/>
                <w:szCs w:val="24"/>
              </w:rPr>
              <w:t>一、部门（单位）概况</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bidi="ar-SA"/>
              </w:rPr>
              <w:t>岳阳市公安局2021年末实有</w:t>
            </w:r>
            <w:r>
              <w:rPr>
                <w:rFonts w:hint="eastAsia" w:ascii="仿宋_GB2312" w:hAnsi="仿宋_GB2312" w:eastAsia="仿宋_GB2312" w:cs="仿宋_GB2312"/>
                <w:kern w:val="0"/>
                <w:sz w:val="28"/>
                <w:szCs w:val="28"/>
                <w:highlight w:val="none"/>
                <w:lang w:val="en-US" w:eastAsia="zh-CN" w:bidi="ar-SA"/>
              </w:rPr>
              <w:t>在职民警2069人，离退休人员5人，退休人员756人，</w:t>
            </w:r>
            <w:r>
              <w:rPr>
                <w:rFonts w:hint="eastAsia" w:ascii="仿宋_GB2312" w:hAnsi="仿宋_GB2312" w:eastAsia="仿宋_GB2312" w:cs="仿宋_GB2312"/>
                <w:kern w:val="0"/>
                <w:sz w:val="28"/>
                <w:szCs w:val="28"/>
                <w:lang w:val="en-US" w:eastAsia="zh-CN" w:bidi="ar-SA"/>
              </w:rPr>
              <w:t>包括市公安局（本级）和云溪分局、君山分局、三荷机场分局、交通警察支队、森林警察支队、岳阳楼分局6个直属单位。市公安局（本级）2021年末</w:t>
            </w:r>
            <w:r>
              <w:rPr>
                <w:rFonts w:hint="eastAsia" w:ascii="仿宋_GB2312" w:hAnsi="仿宋_GB2312" w:eastAsia="仿宋_GB2312" w:cs="仿宋_GB2312"/>
                <w:kern w:val="0"/>
                <w:sz w:val="28"/>
                <w:szCs w:val="28"/>
                <w:highlight w:val="none"/>
              </w:rPr>
              <w:t>在职民警8</w:t>
            </w:r>
            <w:r>
              <w:rPr>
                <w:rFonts w:hint="eastAsia" w:ascii="仿宋_GB2312" w:hAnsi="仿宋_GB2312" w:eastAsia="仿宋_GB2312" w:cs="仿宋_GB2312"/>
                <w:kern w:val="0"/>
                <w:sz w:val="28"/>
                <w:szCs w:val="28"/>
                <w:highlight w:val="none"/>
                <w:lang w:val="en-US" w:eastAsia="zh-CN"/>
              </w:rPr>
              <w:t>95</w:t>
            </w:r>
            <w:r>
              <w:rPr>
                <w:rFonts w:hint="eastAsia" w:ascii="仿宋_GB2312" w:hAnsi="仿宋_GB2312" w:eastAsia="仿宋_GB2312" w:cs="仿宋_GB2312"/>
                <w:kern w:val="0"/>
                <w:sz w:val="28"/>
                <w:szCs w:val="28"/>
                <w:highlight w:val="none"/>
              </w:rPr>
              <w:t>人，离退休人员3</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4人，辅警人员</w:t>
            </w:r>
            <w:r>
              <w:rPr>
                <w:rFonts w:hint="eastAsia" w:ascii="仿宋_GB2312" w:hAnsi="仿宋_GB2312" w:eastAsia="仿宋_GB2312" w:cs="仿宋_GB2312"/>
                <w:kern w:val="0"/>
                <w:sz w:val="28"/>
                <w:szCs w:val="28"/>
                <w:highlight w:val="none"/>
                <w:lang w:val="en-US" w:eastAsia="zh-CN"/>
              </w:rPr>
              <w:t>616</w:t>
            </w:r>
            <w:r>
              <w:rPr>
                <w:rFonts w:hint="eastAsia" w:ascii="仿宋_GB2312" w:hAnsi="仿宋_GB2312" w:eastAsia="仿宋_GB2312" w:cs="仿宋_GB2312"/>
                <w:kern w:val="0"/>
                <w:sz w:val="28"/>
                <w:szCs w:val="28"/>
                <w:highlight w:val="none"/>
              </w:rPr>
              <w:t>人</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lang w:eastAsia="zh-CN"/>
              </w:rPr>
              <w:t>市本级（机关）</w:t>
            </w:r>
            <w:r>
              <w:rPr>
                <w:rFonts w:hint="eastAsia" w:ascii="仿宋_GB2312" w:hAnsi="仿宋_GB2312" w:eastAsia="仿宋_GB2312" w:cs="仿宋_GB2312"/>
                <w:kern w:val="0"/>
                <w:sz w:val="28"/>
                <w:szCs w:val="28"/>
              </w:rPr>
              <w:t>内设机构有：警令部、政治部、刑事侦查支队、治安管理支队、巡特警支队、禁毒支队、经济犯罪侦查支队、网技支队、监所管理支队、第一看守所、第二看守所、戒毒所、</w:t>
            </w:r>
            <w:r>
              <w:rPr>
                <w:rFonts w:hint="eastAsia" w:ascii="仿宋_GB2312" w:hAnsi="仿宋_GB2312" w:eastAsia="仿宋_GB2312" w:cs="仿宋_GB2312"/>
                <w:kern w:val="0"/>
                <w:sz w:val="28"/>
                <w:szCs w:val="28"/>
                <w:lang w:eastAsia="zh-CN"/>
              </w:rPr>
              <w:t>特殊病人治疗</w:t>
            </w:r>
            <w:r>
              <w:rPr>
                <w:rFonts w:hint="eastAsia" w:ascii="仿宋_GB2312" w:hAnsi="仿宋_GB2312" w:eastAsia="仿宋_GB2312" w:cs="仿宋_GB2312"/>
                <w:kern w:val="0"/>
                <w:sz w:val="28"/>
                <w:szCs w:val="28"/>
              </w:rPr>
              <w:t>所、拘留所、国保支队、警务督察支队、法制支队、反恐支队、人口与出入境支队、水警支队、情报信息中心、科信支队、信访科、警官培训中心、机关党委、工会、团委、妇联、离退办、驻京维稳科、审计室、警卫科、食品药品与环境犯罪侦查支队、特别勤务支队等。</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2、部门主要职能</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制定的特种行业进行管理；警卫国家规定的特定人员，守卫重要的场所和设施；管理集会、游行、示威活动；管理户政、国籍、入境出境事务和外国人在中国境内居留、旅行的有关事务；维护国（边）境地区的治安秩序；</w:t>
            </w:r>
            <w:r>
              <w:rPr>
                <w:rFonts w:hint="eastAsia" w:ascii="仿宋_GB2312" w:hAnsi="仿宋_GB2312" w:eastAsia="仿宋_GB2312" w:cs="仿宋_GB2312"/>
                <w:kern w:val="0"/>
                <w:sz w:val="28"/>
                <w:szCs w:val="28"/>
                <w:highlight w:val="none"/>
              </w:rPr>
              <w:t>对被判处管制、拘役、剥夺政治</w:t>
            </w:r>
            <w:r>
              <w:rPr>
                <w:rFonts w:hint="eastAsia" w:ascii="仿宋_GB2312" w:hAnsi="仿宋_GB2312" w:eastAsia="仿宋_GB2312" w:cs="仿宋_GB2312"/>
                <w:kern w:val="0"/>
                <w:sz w:val="28"/>
                <w:szCs w:val="28"/>
              </w:rPr>
              <w:t>权利的罪犯和监外执行的罪犯执行刑罚，对被宣告缓刑、假释的罪犯实行监督、考察；监督管理计算机信息系统的安全保护工作；指导和监督国家机关、社会团体、企业事业组织和重点建设工程的治安保卫工作，指导治安保卫委员会等群众性组织的治安防范工作；</w:t>
            </w:r>
            <w:r>
              <w:rPr>
                <w:rFonts w:hint="eastAsia" w:ascii="仿宋_GB2312" w:hAnsi="仿宋_GB2312" w:eastAsia="仿宋_GB2312" w:cs="仿宋_GB2312"/>
                <w:kern w:val="0"/>
                <w:sz w:val="28"/>
                <w:szCs w:val="28"/>
                <w:lang w:val="en-US" w:eastAsia="zh-CN"/>
              </w:rPr>
              <w:t>指导、监督全市公安机关开展禁毒、缉毒工作，承担市禁毒委员会办公室的日常工作；法律、法规规定的其他职责。</w:t>
            </w:r>
          </w:p>
          <w:p>
            <w:pPr>
              <w:pStyle w:val="2"/>
              <w:rPr>
                <w:rFonts w:hint="eastAsia"/>
              </w:rPr>
            </w:pPr>
          </w:p>
          <w:p>
            <w:p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二、部门（单位）整体支出管理及使用情况</w:t>
            </w:r>
          </w:p>
          <w:p>
            <w:pPr>
              <w:numPr>
                <w:ilvl w:val="0"/>
                <w:numId w:val="2"/>
              </w:num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基本支出</w:t>
            </w:r>
          </w:p>
          <w:p>
            <w:pPr>
              <w:pStyle w:val="2"/>
              <w:spacing w:line="240" w:lineRule="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1.2021年度市公安局基本支出63526.5万元，占年度总支出的69%。其中人员支出46658.71万元，占基本支出的73.45%；公用支出16867.79万元，占基本支出的26.55%。基本支出主要包括基本工资、民警津贴补贴、养老保险、医疗保险缴费等人员支出，以及办公费、差旅费、水电、邮电、招待费等日常运行经费。</w:t>
            </w:r>
          </w:p>
          <w:p>
            <w:pPr>
              <w:pStyle w:val="2"/>
              <w:spacing w:line="240" w:lineRule="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2.2021年</w:t>
            </w:r>
            <w:r>
              <w:rPr>
                <w:rFonts w:hint="eastAsia" w:ascii="仿宋_GB2312" w:hAnsi="仿宋_GB2312" w:eastAsia="仿宋_GB2312" w:cs="仿宋_GB2312"/>
                <w:kern w:val="0"/>
                <w:sz w:val="28"/>
                <w:szCs w:val="28"/>
                <w:lang w:val="en-US" w:eastAsia="zh-CN" w:bidi="ar-SA"/>
              </w:rPr>
              <w:t>市公安局“三公”经费总支出1005.22万元，未超过年初预算数，其中公务接待费支出2.44万元，公务用车运行维护费886.21万元，公务用车购置费116.57万元，因公出国费0万元。</w:t>
            </w:r>
          </w:p>
          <w:p>
            <w:pPr>
              <w:spacing w:line="240" w:lineRule="auto"/>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（二）专项支出</w:t>
            </w:r>
          </w:p>
          <w:p>
            <w:pPr>
              <w:spacing w:line="240" w:lineRule="auto"/>
              <w:ind w:firstLine="560"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1、专项资金安排落实、总投入等情况分析</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市财政</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年度</w:t>
            </w:r>
            <w:r>
              <w:rPr>
                <w:rFonts w:hint="eastAsia" w:ascii="仿宋_GB2312" w:hAnsi="仿宋_GB2312" w:eastAsia="仿宋_GB2312" w:cs="仿宋_GB2312"/>
                <w:color w:val="000000"/>
                <w:kern w:val="0"/>
                <w:sz w:val="28"/>
                <w:szCs w:val="28"/>
                <w:lang w:eastAsia="zh-CN"/>
              </w:rPr>
              <w:t>安排我局（本级）</w:t>
            </w:r>
            <w:r>
              <w:rPr>
                <w:rFonts w:hint="eastAsia" w:ascii="仿宋_GB2312" w:hAnsi="仿宋_GB2312" w:eastAsia="仿宋_GB2312" w:cs="仿宋_GB2312"/>
                <w:color w:val="000000"/>
                <w:kern w:val="0"/>
                <w:sz w:val="28"/>
                <w:szCs w:val="28"/>
              </w:rPr>
              <w:t>专项经费</w:t>
            </w:r>
            <w:r>
              <w:rPr>
                <w:rFonts w:hint="eastAsia" w:ascii="仿宋_GB2312" w:hAnsi="仿宋_GB2312" w:eastAsia="仿宋_GB2312" w:cs="仿宋_GB2312"/>
                <w:color w:val="000000"/>
                <w:kern w:val="0"/>
                <w:sz w:val="28"/>
                <w:szCs w:val="28"/>
                <w:lang w:val="en-US" w:eastAsia="zh-CN"/>
              </w:rPr>
              <w:t>3214.02</w:t>
            </w:r>
            <w:r>
              <w:rPr>
                <w:rFonts w:hint="eastAsia" w:ascii="仿宋_GB2312" w:hAnsi="仿宋_GB2312" w:eastAsia="仿宋_GB2312" w:cs="仿宋_GB2312"/>
                <w:color w:val="000000"/>
                <w:kern w:val="0"/>
                <w:sz w:val="28"/>
                <w:szCs w:val="28"/>
              </w:rPr>
              <w:t>万元，其中禁毒委专项经费300万元、科技强警专项经费</w:t>
            </w:r>
            <w:r>
              <w:rPr>
                <w:rFonts w:hint="eastAsia" w:ascii="仿宋_GB2312" w:hAnsi="仿宋_GB2312" w:eastAsia="仿宋_GB2312" w:cs="仿宋_GB2312"/>
                <w:color w:val="000000"/>
                <w:kern w:val="0"/>
                <w:sz w:val="28"/>
                <w:szCs w:val="28"/>
                <w:lang w:val="en-US" w:eastAsia="zh-CN"/>
              </w:rPr>
              <w:t>500</w:t>
            </w:r>
            <w:r>
              <w:rPr>
                <w:rFonts w:hint="eastAsia" w:ascii="仿宋_GB2312" w:hAnsi="仿宋_GB2312" w:eastAsia="仿宋_GB2312" w:cs="仿宋_GB2312"/>
                <w:color w:val="000000"/>
                <w:kern w:val="0"/>
                <w:sz w:val="28"/>
                <w:szCs w:val="28"/>
              </w:rPr>
              <w:t>万元、反恐专项1</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0万元、民警</w:t>
            </w:r>
            <w:r>
              <w:rPr>
                <w:rFonts w:hint="eastAsia" w:ascii="仿宋_GB2312" w:hAnsi="仿宋_GB2312" w:eastAsia="仿宋_GB2312" w:cs="仿宋_GB2312"/>
                <w:color w:val="000000"/>
                <w:kern w:val="0"/>
                <w:sz w:val="28"/>
                <w:szCs w:val="28"/>
                <w:lang w:eastAsia="zh-CN"/>
              </w:rPr>
              <w:t>教育</w:t>
            </w:r>
            <w:r>
              <w:rPr>
                <w:rFonts w:hint="eastAsia" w:ascii="仿宋_GB2312" w:hAnsi="仿宋_GB2312" w:eastAsia="仿宋_GB2312" w:cs="仿宋_GB2312"/>
                <w:color w:val="000000"/>
                <w:kern w:val="0"/>
                <w:sz w:val="28"/>
                <w:szCs w:val="28"/>
              </w:rPr>
              <w:t>培训专项100万元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扫黑除恶专项2</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0万元</w:t>
            </w:r>
            <w:r>
              <w:rPr>
                <w:rFonts w:hint="eastAsia" w:ascii="仿宋_GB2312" w:hAnsi="仿宋_GB2312" w:eastAsia="仿宋_GB2312" w:cs="仿宋_GB2312"/>
                <w:color w:val="000000"/>
                <w:kern w:val="0"/>
                <w:sz w:val="28"/>
                <w:szCs w:val="28"/>
                <w:lang w:eastAsia="zh-CN"/>
              </w:rPr>
              <w:t>、城市快警专项</w:t>
            </w:r>
            <w:r>
              <w:rPr>
                <w:rFonts w:hint="eastAsia" w:ascii="仿宋_GB2312" w:hAnsi="仿宋_GB2312" w:eastAsia="仿宋_GB2312" w:cs="仿宋_GB2312"/>
                <w:color w:val="000000"/>
                <w:kern w:val="0"/>
                <w:sz w:val="28"/>
                <w:szCs w:val="28"/>
                <w:lang w:val="en-US" w:eastAsia="zh-CN"/>
              </w:rPr>
              <w:t>153万元、给养费（第一看守所）专项229.98万元以及人民警察加班补助、执勤岗位津贴专项1561.04万元</w:t>
            </w:r>
            <w:r>
              <w:rPr>
                <w:rFonts w:hint="eastAsia" w:ascii="仿宋_GB2312" w:hAnsi="仿宋_GB2312" w:eastAsia="仿宋_GB2312" w:cs="仿宋_GB2312"/>
                <w:color w:val="000000"/>
                <w:kern w:val="0"/>
                <w:sz w:val="28"/>
                <w:szCs w:val="28"/>
              </w:rPr>
              <w:t>。</w:t>
            </w:r>
          </w:p>
          <w:p>
            <w:pPr>
              <w:widowControl/>
              <w:spacing w:line="240" w:lineRule="auto"/>
              <w:ind w:firstLine="560" w:firstLineChars="200"/>
              <w:contextualSpacing/>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我局</w:t>
            </w:r>
            <w:r>
              <w:rPr>
                <w:rFonts w:hint="eastAsia" w:ascii="仿宋_GB2312" w:hAnsi="仿宋_GB2312" w:eastAsia="仿宋_GB2312" w:cs="仿宋_GB2312"/>
                <w:color w:val="000000"/>
                <w:kern w:val="0"/>
                <w:sz w:val="28"/>
                <w:szCs w:val="28"/>
                <w:lang w:eastAsia="zh-CN"/>
              </w:rPr>
              <w:t>（本级）</w:t>
            </w: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年度专项支出</w:t>
            </w:r>
            <w:r>
              <w:rPr>
                <w:rFonts w:hint="eastAsia" w:ascii="仿宋_GB2312" w:hAnsi="仿宋_GB2312" w:eastAsia="仿宋_GB2312" w:cs="仿宋_GB2312"/>
                <w:color w:val="000000"/>
                <w:kern w:val="0"/>
                <w:sz w:val="28"/>
                <w:szCs w:val="28"/>
                <w:lang w:val="en-US" w:eastAsia="zh-CN"/>
              </w:rPr>
              <w:t>3182.65</w:t>
            </w:r>
            <w:r>
              <w:rPr>
                <w:rFonts w:hint="eastAsia" w:ascii="仿宋_GB2312" w:hAnsi="仿宋_GB2312" w:eastAsia="仿宋_GB2312" w:cs="仿宋_GB2312"/>
                <w:color w:val="000000"/>
                <w:kern w:val="0"/>
                <w:sz w:val="28"/>
                <w:szCs w:val="28"/>
              </w:rPr>
              <w:t>万元，其中禁毒委专项经费300万元</w:t>
            </w:r>
            <w:r>
              <w:rPr>
                <w:rFonts w:hint="eastAsia" w:ascii="仿宋_GB2312" w:hAnsi="仿宋_GB2312" w:eastAsia="仿宋_GB2312" w:cs="仿宋_GB2312"/>
                <w:color w:val="000000"/>
                <w:kern w:val="0"/>
                <w:sz w:val="28"/>
                <w:szCs w:val="28"/>
                <w:lang w:eastAsia="zh-CN"/>
              </w:rPr>
              <w:t>（转拨至禁毒委账户）</w:t>
            </w:r>
            <w:r>
              <w:rPr>
                <w:rFonts w:hint="eastAsia" w:ascii="仿宋_GB2312" w:hAnsi="仿宋_GB2312" w:eastAsia="仿宋_GB2312" w:cs="仿宋_GB2312"/>
                <w:color w:val="000000"/>
                <w:kern w:val="0"/>
                <w:sz w:val="28"/>
                <w:szCs w:val="28"/>
              </w:rPr>
              <w:t>、科技强警专项经费</w:t>
            </w:r>
            <w:r>
              <w:rPr>
                <w:rFonts w:hint="eastAsia" w:ascii="仿宋_GB2312" w:hAnsi="仿宋_GB2312" w:eastAsia="仿宋_GB2312" w:cs="仿宋_GB2312"/>
                <w:color w:val="000000"/>
                <w:kern w:val="0"/>
                <w:sz w:val="28"/>
                <w:szCs w:val="28"/>
                <w:lang w:val="en-US" w:eastAsia="zh-CN"/>
              </w:rPr>
              <w:t>500</w:t>
            </w:r>
            <w:r>
              <w:rPr>
                <w:rFonts w:hint="eastAsia" w:ascii="仿宋_GB2312" w:hAnsi="仿宋_GB2312" w:eastAsia="仿宋_GB2312" w:cs="仿宋_GB2312"/>
                <w:color w:val="000000"/>
                <w:kern w:val="0"/>
                <w:sz w:val="28"/>
                <w:szCs w:val="28"/>
              </w:rPr>
              <w:t>万元、反恐专项1</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0万元、民警</w:t>
            </w:r>
            <w:r>
              <w:rPr>
                <w:rFonts w:hint="eastAsia" w:ascii="仿宋_GB2312" w:hAnsi="仿宋_GB2312" w:eastAsia="仿宋_GB2312" w:cs="仿宋_GB2312"/>
                <w:color w:val="000000"/>
                <w:kern w:val="0"/>
                <w:sz w:val="28"/>
                <w:szCs w:val="28"/>
                <w:lang w:eastAsia="zh-CN"/>
              </w:rPr>
              <w:t>教育</w:t>
            </w:r>
            <w:r>
              <w:rPr>
                <w:rFonts w:hint="eastAsia" w:ascii="仿宋_GB2312" w:hAnsi="仿宋_GB2312" w:eastAsia="仿宋_GB2312" w:cs="仿宋_GB2312"/>
                <w:color w:val="000000"/>
                <w:kern w:val="0"/>
                <w:sz w:val="28"/>
                <w:szCs w:val="28"/>
              </w:rPr>
              <w:t>培训专项100万元</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扫黑除恶专项</w:t>
            </w:r>
            <w:r>
              <w:rPr>
                <w:rFonts w:hint="eastAsia" w:ascii="仿宋_GB2312" w:hAnsi="仿宋_GB2312" w:eastAsia="仿宋_GB2312" w:cs="仿宋_GB2312"/>
                <w:color w:val="000000"/>
                <w:kern w:val="0"/>
                <w:sz w:val="28"/>
                <w:szCs w:val="28"/>
                <w:lang w:val="en-US" w:eastAsia="zh-CN"/>
              </w:rPr>
              <w:t>189.19</w:t>
            </w:r>
            <w:r>
              <w:rPr>
                <w:rFonts w:hint="eastAsia"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lang w:eastAsia="zh-CN"/>
              </w:rPr>
              <w:t>、城市快警专项</w:t>
            </w:r>
            <w:r>
              <w:rPr>
                <w:rFonts w:hint="eastAsia" w:ascii="仿宋_GB2312" w:hAnsi="仿宋_GB2312" w:eastAsia="仿宋_GB2312" w:cs="仿宋_GB2312"/>
                <w:color w:val="000000"/>
                <w:kern w:val="0"/>
                <w:sz w:val="28"/>
                <w:szCs w:val="28"/>
                <w:lang w:val="en-US" w:eastAsia="zh-CN"/>
              </w:rPr>
              <w:t>153万元、给养费（第一看守所）专项229.42万元以及人民警察加班补助、执勤岗位津贴专项1561.04万元</w:t>
            </w:r>
            <w:r>
              <w:rPr>
                <w:rFonts w:hint="eastAsia" w:ascii="仿宋_GB2312" w:hAnsi="仿宋_GB2312" w:eastAsia="仿宋_GB2312" w:cs="仿宋_GB2312"/>
                <w:color w:val="000000"/>
                <w:kern w:val="0"/>
                <w:sz w:val="28"/>
                <w:szCs w:val="28"/>
              </w:rPr>
              <w:t>。</w:t>
            </w:r>
          </w:p>
          <w:p>
            <w:pPr>
              <w:pStyle w:val="2"/>
              <w:rPr>
                <w:rFonts w:hint="eastAsia"/>
              </w:rPr>
            </w:pPr>
          </w:p>
          <w:p>
            <w:pPr>
              <w:spacing w:line="240" w:lineRule="auto"/>
              <w:ind w:firstLine="562"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
                <w:bCs w:val="0"/>
                <w:color w:val="000000" w:themeColor="text1"/>
                <w:sz w:val="28"/>
                <w:szCs w:val="28"/>
                <w14:textFill>
                  <w14:solidFill>
                    <w14:schemeClr w14:val="tx1"/>
                  </w14:solidFill>
                </w14:textFill>
              </w:rPr>
              <w:t>三、部门（单位）专项组织实施情况</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格遵守各项财经法规政策规定，建立健全内控管理制度，夯实基础工作，对政府采购规模以上项目，应采尽采，无分割、逃避政府采购的情况。设置内部配套流程，迅速落实电子卖场采购要求。全面落实过“紧日子”要求，切实压缩一般性支出，最大程度发挥资金效益。对专项资金实行全过程绩效管理：</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1、确定纳入绩效管理的专项资金项目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我局根据公安部和省厅加强公安装备建设要求及市局工作规划，按轻重缓急申报专项预算，纳入绩效管理。</w:t>
            </w:r>
          </w:p>
          <w:p>
            <w:pPr>
              <w:keepNext w:val="0"/>
              <w:keepLines w:val="0"/>
              <w:pageBreakBefore w:val="0"/>
              <w:widowControl/>
              <w:kinsoku/>
              <w:wordWrap/>
              <w:overflowPunct/>
              <w:topLinePunct w:val="0"/>
              <w:autoSpaceDE/>
              <w:autoSpaceDN/>
              <w:bidi w:val="0"/>
              <w:adjustRightInd w:val="0"/>
              <w:snapToGrid/>
              <w:spacing w:after="0" w:line="240" w:lineRule="auto"/>
              <w:ind w:left="153" w:leftChars="73" w:firstLine="408" w:firstLineChars="146"/>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2、确定专项预算的具体项目，并纳入我局年初预算方案。使用专项资金部门提出立项申请，专业技术人员进行可行性论证，再由局党委会讨论确定项目明细。</w:t>
            </w:r>
          </w:p>
          <w:p>
            <w:pPr>
              <w:keepNext w:val="0"/>
              <w:keepLines w:val="0"/>
              <w:pageBreakBefore w:val="0"/>
              <w:widowControl/>
              <w:kinsoku/>
              <w:wordWrap/>
              <w:overflowPunct/>
              <w:topLinePunct w:val="0"/>
              <w:autoSpaceDE/>
              <w:autoSpaceDN/>
              <w:bidi w:val="0"/>
              <w:adjustRightInd w:val="0"/>
              <w:snapToGrid/>
              <w:spacing w:after="0" w:line="240" w:lineRule="auto"/>
              <w:ind w:firstLine="63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实施，已经立项的采购项目交由市局警保处通过政府采购程序进行采购。设备安装完成后由使用部门的专业人员及安装技术人员联合验收。警保处财务科根据合同和验收报告付款，并预留保证金，项目管理、使用人及时向绩效管理工作组汇报项目实施过程中创造的社会治安管理效益及存在的问题，工作组定期向财政申报绩效跟踪监控管理情况，年末工作组进行绩效评价管理自查自评总结，向财政递交预算绩效管理工作报告。</w:t>
            </w:r>
          </w:p>
          <w:p>
            <w:pPr>
              <w:numPr>
                <w:ilvl w:val="0"/>
                <w:numId w:val="3"/>
              </w:numPr>
              <w:spacing w:line="240" w:lineRule="auto"/>
              <w:ind w:firstLine="562" w:firstLineChars="200"/>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部门（单位）整体支出绩效情况</w:t>
            </w:r>
          </w:p>
          <w:p>
            <w:pPr>
              <w:widowControl/>
              <w:spacing w:line="240" w:lineRule="auto"/>
              <w:ind w:firstLine="560" w:firstLineChars="200"/>
              <w:contextualSpacing/>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根据《部门整体支出绩效评价指标》评分，得分9</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分，绩效评价等级为“优”。主要绩效如下：</w:t>
            </w:r>
          </w:p>
          <w:p>
            <w:pPr>
              <w:widowControl/>
              <w:spacing w:line="240" w:lineRule="auto"/>
              <w:ind w:firstLine="560" w:firstLineChars="200"/>
              <w:contextualSpacing/>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 w:eastAsia="zh-CN"/>
              </w:rPr>
              <w:t>维稳安保方面。坚持“稳”字当头，以推进各类专项行动为契机，扎实做好源头治理和重点稳控工作，</w:t>
            </w:r>
            <w:r>
              <w:rPr>
                <w:rFonts w:hint="eastAsia" w:ascii="仿宋_GB2312" w:hAnsi="仿宋_GB2312" w:eastAsia="仿宋_GB2312" w:cs="仿宋_GB2312"/>
                <w:kern w:val="0"/>
                <w:sz w:val="28"/>
                <w:szCs w:val="28"/>
                <w:lang w:val="en-US" w:eastAsia="zh-CN"/>
              </w:rPr>
              <w:t>有力捍卫政治安全，探索推进信访、维稳机制有机融合，有效防范化解社会面风险，确保了全市社会大局平稳可控。</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0"/>
                <w:sz w:val="28"/>
                <w:szCs w:val="28"/>
                <w:lang w:val="en-US" w:eastAsia="zh-CN"/>
              </w:rPr>
              <w:t>打击违法犯罪方面。集中打击“盗抢骗”“黄赌毒”“食药环”等违法犯罪，常态化开展扫黑除恶斗争。全年</w:t>
            </w:r>
            <w:r>
              <w:rPr>
                <w:rFonts w:hint="eastAsia" w:ascii="仿宋_GB2312" w:hAnsi="仿宋_GB2312" w:eastAsia="仿宋_GB2312" w:cs="仿宋_GB2312"/>
                <w:color w:val="000000" w:themeColor="text1"/>
                <w:kern w:val="0"/>
                <w:sz w:val="28"/>
                <w:szCs w:val="28"/>
                <w14:textFill>
                  <w14:solidFill>
                    <w14:schemeClr w14:val="tx1"/>
                  </w14:solidFill>
                </w14:textFill>
              </w:rPr>
              <w:t>刑事拘留</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7291</w:t>
            </w:r>
            <w:r>
              <w:rPr>
                <w:rFonts w:hint="eastAsia" w:ascii="仿宋_GB2312" w:hAnsi="仿宋_GB2312" w:eastAsia="仿宋_GB2312" w:cs="仿宋_GB2312"/>
                <w:color w:val="000000" w:themeColor="text1"/>
                <w:kern w:val="0"/>
                <w:sz w:val="28"/>
                <w:szCs w:val="28"/>
                <w14:textFill>
                  <w14:solidFill>
                    <w14:schemeClr w14:val="tx1"/>
                  </w14:solidFill>
                </w14:textFill>
              </w:rPr>
              <w:t>人，逮捕</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3782</w:t>
            </w:r>
            <w:r>
              <w:rPr>
                <w:rFonts w:hint="eastAsia" w:ascii="仿宋_GB2312" w:hAnsi="仿宋_GB2312" w:eastAsia="仿宋_GB2312" w:cs="仿宋_GB2312"/>
                <w:color w:val="000000" w:themeColor="text1"/>
                <w:kern w:val="0"/>
                <w:sz w:val="28"/>
                <w:szCs w:val="28"/>
                <w14:textFill>
                  <w14:solidFill>
                    <w14:schemeClr w14:val="tx1"/>
                  </w14:solidFill>
                </w14:textFill>
              </w:rPr>
              <w:t>人、移送起诉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6632</w:t>
            </w:r>
            <w:r>
              <w:rPr>
                <w:rFonts w:hint="eastAsia" w:ascii="仿宋_GB2312" w:hAnsi="仿宋_GB2312" w:eastAsia="仿宋_GB2312" w:cs="仿宋_GB2312"/>
                <w:color w:val="000000" w:themeColor="text1"/>
                <w:kern w:val="0"/>
                <w:sz w:val="28"/>
                <w:szCs w:val="28"/>
                <w14:textFill>
                  <w14:solidFill>
                    <w14:schemeClr w14:val="tx1"/>
                  </w14:solidFill>
                </w14:textFill>
              </w:rPr>
              <w:t>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打击电信网络犯罪战果丰硕，破案数和刑拘数同比分别上升</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274.9%、275.6%。百日“净风1号”行动取得阶段性胜利，打击处理各类违法犯罪嫌疑人4591名。</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kern w:val="0"/>
                <w:sz w:val="28"/>
                <w:szCs w:val="28"/>
                <w:lang w:eastAsia="zh-CN"/>
              </w:rPr>
              <w:t>新冠疫情防控方面。全力做好疫情联防联控和流调溯源等工作，有效切断了病源传播途径，为全市实现“零感染”目标贡献了公安力量。</w:t>
            </w:r>
          </w:p>
          <w:p>
            <w:pPr>
              <w:widowControl/>
              <w:spacing w:line="240" w:lineRule="auto"/>
              <w:ind w:firstLine="560" w:firstLineChars="200"/>
              <w:contextualSpacing/>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推进公安改革方面。有序推进法治公安建设和基层基础建设，出台《岳阳市局重大执法决定法制审核工作规定》、《岳阳市公安机关人民警察执法过错责任追究实施办法》，初步构建执法大监督格局，健全完善侦审指导一体化机制，成立检察、公安侦查监督与协作配合办公室。创新水域治安“四位一体”综合治理机制，圆满完成乡村“雪亮工程”建设，治理6.3万余条视图数据，投入8700万元全面加强技侦手段建设。</w:t>
            </w:r>
          </w:p>
          <w:p>
            <w:pPr>
              <w:spacing w:line="240" w:lineRule="auto"/>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2021年，岳阳市公安局在市委、市政府和省公安厅坚强领导下，</w:t>
            </w:r>
            <w:r>
              <w:rPr>
                <w:rFonts w:hint="eastAsia" w:ascii="仿宋_GB2312" w:hAnsi="仿宋_GB2312" w:eastAsia="仿宋_GB2312" w:cs="仿宋_GB2312"/>
                <w:color w:val="000000"/>
                <w:kern w:val="0"/>
                <w:sz w:val="28"/>
                <w:szCs w:val="28"/>
                <w:lang w:eastAsia="zh-CN"/>
              </w:rPr>
              <w:t>以坚持政治建警全面从严治警为统领，以打击犯罪和队伍建设为着力点，统筹安保维稳、疫情防控、公安改革、基础建设等重点工作，有力维护了全市政治安全、社会安定、人民安宁。同时厉行节约，严格压减一般性支出，实现了资金效益的最大化。</w:t>
            </w:r>
          </w:p>
          <w:p>
            <w:pPr>
              <w:pStyle w:val="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认真履行职责，全力维护林区社会稳定。开展数次专项行动，打击乱砍滥伐和破坏野生动物行为。森警支队全年完成一般罚没收入22.34万元。有力打击了破坏野生动物资源和乱捕滥猎野生动物的行为，维护了生态安全，有力促进生态文明发展。认真抓好森林火灾防控落实，保障人民群众生命财产安全。为做好森林防火宣传教育，全年进行了多次森林防火宣传教育活动，单位下属各大队民警加强区、街道森林防火宣传巡逻力度，印刷、悬挂森林防火宣传标语，制作防火警示宣传牌，印刷发放防火教育宣传单，开展森林防火宣讲培训，宣传森林防火基本常识、法律法规和森林防火的重要性。</w:t>
            </w:r>
          </w:p>
          <w:p>
            <w:pPr>
              <w:spacing w:line="560" w:lineRule="exact"/>
              <w:ind w:firstLine="560" w:firstLineChars="200"/>
              <w:rPr>
                <w:rFonts w:hint="eastAsia" w:ascii="仿宋_GB2312" w:hAnsi="仿宋_GB2312" w:eastAsia="仿宋_GB2312" w:cs="仿宋_GB2312"/>
                <w:bCs/>
                <w:kern w:val="0"/>
                <w:sz w:val="28"/>
                <w:szCs w:val="28"/>
                <w:lang w:val="en-US" w:eastAsia="zh-CN" w:bidi="ar-SA"/>
              </w:rPr>
            </w:pPr>
            <w:r>
              <w:rPr>
                <w:rFonts w:hint="eastAsia" w:ascii="宋体" w:hAnsi="宋体" w:cs="黑体"/>
                <w:bCs/>
                <w:color w:val="000000"/>
                <w:sz w:val="28"/>
                <w:szCs w:val="28"/>
                <w:lang w:eastAsia="zh-CN"/>
              </w:rPr>
              <w:t>君</w:t>
            </w:r>
            <w:r>
              <w:rPr>
                <w:rFonts w:hint="eastAsia" w:ascii="仿宋_GB2312" w:hAnsi="仿宋_GB2312" w:eastAsia="仿宋_GB2312" w:cs="仿宋_GB2312"/>
                <w:bCs/>
                <w:kern w:val="0"/>
                <w:sz w:val="28"/>
                <w:szCs w:val="28"/>
                <w:lang w:val="en-US" w:eastAsia="zh-CN" w:bidi="ar-SA"/>
              </w:rPr>
              <w:t>山分局牵头承担全区防疫社会稳定和流调工作职能，坚持与时间赛跑，牢牢守住阵地。以严打整治为手段，强力震慑各类违法犯罪；以规范化建设为抓手，大力提升基层基础水平；以政治建警为载体，有力强化队伍履职能力。始终着眼君山区经济发展及治安稳定大局，在打防管控、基层基础及公安队伍建设中因情施策、忠诚履职、奋发求为。全区没有发生暴恐分子现实破坏活动，没有发生影响政治稳定的重大事件，没有发生大规模群体性事件，没有发生暴恐案件，圆满完成了全年公安工作目标任务。</w:t>
            </w:r>
          </w:p>
          <w:p>
            <w:pPr>
              <w:pStyle w:val="2"/>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交警支队结合事故预防“减量控大”和交通问题顽瘴痼疾集中整治，全年开展各类专项整治行动400余次，查纠各类交通违法124.9万余起。持续开展“一盔一带”安全守护行动，全市摩托车、电动车头盔佩戴率由年初52%提升至90%。开展“美丽乡村行”交通安全巡回宣讲148场次、“七进”宣传活动2048场次，开设宣传阵地635个，发放宣传单12万余份。利用双微平台发布典型案例108条、违法大曝光86次，开展直播6次，在线累积观看人数50万余人次。定期举办“警营开放日”活动12场次，统筹策划开展全媒体宣传活动160场次。聘请专业技术团队对智能交通系统持续优化，持续扩展用用。目前，完成37个重点部门的交通组织“微改造”，对94个路口细化配时方案685个，进行配时调整1850余次，所有路口均设置高峰、平峰、低峰、夜间四个时段方案。利用缉查布控系统，精准打击涉牌涉证违法行为，为基层办案提供技术支持，并提供大量数据给市政府相关部门，用于交通规划、交通评估和交管措施论证。</w:t>
            </w:r>
          </w:p>
          <w:p>
            <w:pPr>
              <w:pStyle w:val="2"/>
              <w:ind w:left="0" w:leftChars="0" w:firstLine="0" w:firstLineChars="0"/>
              <w:rPr>
                <w:rFonts w:hint="eastAsia"/>
                <w:lang w:val="en-US" w:eastAsia="zh-CN"/>
              </w:rPr>
            </w:pPr>
          </w:p>
          <w:p>
            <w:pPr>
              <w:spacing w:line="240" w:lineRule="auto"/>
              <w:ind w:firstLine="562" w:firstLineChars="200"/>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rPr>
              <w:t>五、存在的</w:t>
            </w:r>
            <w:r>
              <w:rPr>
                <w:rFonts w:hint="eastAsia" w:ascii="仿宋_GB2312" w:hAnsi="仿宋_GB2312" w:eastAsia="仿宋_GB2312" w:cs="仿宋_GB2312"/>
                <w:b/>
                <w:bCs w:val="0"/>
                <w:sz w:val="28"/>
                <w:szCs w:val="28"/>
                <w:lang w:eastAsia="zh-CN"/>
              </w:rPr>
              <w:t>问题</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近年来，公安部门在科技强警上投入大量资金，对我局科技项目进行采购和更新，几乎所有业务部门都有相应的业务装备和系统需要采购，我局按轻重缓急的原则已采购大量重点设备，新的设备及系统建成使用后要求对民警进行相应培训，实战应用中的技能考核、后续设备的升级及维护，公安部及省公安厅要求尚需建设的其他业务系统等还需大量资金。此外，全市无房、危房派出所仍然存在，基础建设底子薄、欠账多、跟不上等问题还较为突出。我局经费主要来自财政拨款，故需财政逐年加大对科技强警项目和基础建设项目的投入，实现新时期公安工作的跨越式发展。</w:t>
            </w:r>
          </w:p>
          <w:p>
            <w:pPr>
              <w:spacing w:line="56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六、改进措施和有关建议</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细化预算编制工作，认真做好预算的编制。全面编制预算项目，优先保障固定的、相对刚性的费用支出项目，进一步提高预算编制的科学性、严谨性和可控性。加强内部预算编制的审核和预算控制指标的下达。</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2、加强财务管理，严格财务审核。加强单位财务管理，健全单位财务管理制度体系，规范单位财务行为。</w:t>
            </w:r>
          </w:p>
          <w:p>
            <w:pPr>
              <w:spacing w:line="240" w:lineRule="auto"/>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完善资产管理，抓好“三公”经费控制。严格编制政府采购年初预算和计划，规范各类资产的购置审批制度、资产采购制度、使用管理制度、资产处置和报废审批制度，加强单位内部的资产管理工作。细化“三公”经费的管理，合理压缩“三公”经费支出。</w:t>
            </w:r>
          </w:p>
          <w:p>
            <w:pPr>
              <w:pStyle w:val="2"/>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pPr>
              <w:rPr>
                <w:rFonts w:eastAsia="楷体_GB2312"/>
                <w:bCs/>
                <w:sz w:val="28"/>
                <w:szCs w:val="28"/>
              </w:rPr>
            </w:pPr>
          </w:p>
        </w:tc>
      </w:tr>
    </w:tbl>
    <w:p>
      <w:pPr>
        <w:spacing w:before="312" w:beforeLines="100" w:after="312"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仿宋" w:eastAsia="仿宋_GB2312" w:cs="仿宋"/>
                <w:color w:val="000000"/>
                <w:kern w:val="0"/>
                <w:sz w:val="18"/>
                <w:szCs w:val="18"/>
              </w:rPr>
              <w:t>公安业务存在突发情况多、专项任务多的特殊性，财政及上级单位追加下达经费较多</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仿宋" w:eastAsia="仿宋_GB2312" w:cs="仿宋"/>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仿宋" w:eastAsia="仿宋_GB2312" w:cs="仿宋"/>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Layout w:type="fixed"/>
        <w:tblCellMar>
          <w:top w:w="0" w:type="dxa"/>
          <w:left w:w="108" w:type="dxa"/>
          <w:bottom w:w="0" w:type="dxa"/>
          <w:right w:w="108" w:type="dxa"/>
        </w:tblCellMar>
      </w:tblPr>
      <w:tblGrid>
        <w:gridCol w:w="976"/>
        <w:gridCol w:w="939"/>
        <w:gridCol w:w="1482"/>
        <w:gridCol w:w="4078"/>
        <w:gridCol w:w="619"/>
        <w:gridCol w:w="720"/>
        <w:gridCol w:w="1080"/>
      </w:tblGrid>
      <w:tr>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0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0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643"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07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76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职责履行</w:t>
            </w:r>
            <w:r>
              <w:rPr>
                <w:rFonts w:hint="eastAsia" w:ascii="仿宋_GB2312" w:hAnsi="宋体" w:eastAsia="仿宋_GB2312" w:cs="宋体"/>
                <w:kern w:val="0"/>
                <w:sz w:val="18"/>
                <w:szCs w:val="18"/>
                <w:highlight w:val="none"/>
              </w:rPr>
              <w:br w:type="textWrapping"/>
            </w:r>
            <w:r>
              <w:rPr>
                <w:rFonts w:hint="eastAsia" w:ascii="仿宋_GB2312" w:hAnsi="宋体" w:eastAsia="仿宋_GB2312" w:cs="宋体"/>
                <w:kern w:val="0"/>
                <w:sz w:val="18"/>
                <w:szCs w:val="18"/>
                <w:highlight w:val="none"/>
              </w:rPr>
              <w:t>（25分）</w:t>
            </w: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w:t>
            </w:r>
            <w:r>
              <w:rPr>
                <w:rFonts w:hint="eastAsia" w:ascii="仿宋_GB2312" w:hAnsi="仿宋" w:eastAsia="仿宋_GB2312" w:cs="仿宋"/>
                <w:kern w:val="0"/>
                <w:sz w:val="18"/>
                <w:szCs w:val="18"/>
                <w:lang w:eastAsia="zh-CN"/>
              </w:rPr>
              <w:t>取得突出成绩</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《政府工作报告》目标任务完成情况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依法稳妥维护好全市政治大局稳定，预防、制止和侦查违法犯罪活动、维护社会治安秩序</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937"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省市重点民生实事完成情况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开展集打斗争，保持对涉毒、盗抢、电信诈骗、涉黄涉赌、涉枪涉爆等突出违法犯罪的高压严打态势。</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858"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省市重点工程和重大项目建设完成情况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破获一批在全国、全省有重大影响的大要案件</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其他工作实绩指标完成情况</w:t>
            </w:r>
          </w:p>
        </w:tc>
        <w:tc>
          <w:tcPr>
            <w:tcW w:w="407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加强反恐、消防、交通安全治安防范工作</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0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0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07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4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07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48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eastAsia="黑体" w:cs="黑体"/>
          <w:bCs/>
          <w:sz w:val="32"/>
          <w:szCs w:val="32"/>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4"/>
        <w:szCs w:val="24"/>
      </w:rPr>
    </w:pPr>
    <w:r>
      <w:rPr>
        <w:rStyle w:val="12"/>
        <w:rFonts w:hint="eastAsia"/>
        <w:sz w:val="24"/>
        <w:szCs w:val="24"/>
      </w:rPr>
      <w:t xml:space="preserve">— </w:t>
    </w: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9</w:t>
    </w:r>
    <w:r>
      <w:rPr>
        <w:sz w:val="24"/>
        <w:szCs w:val="24"/>
      </w:rPr>
      <w:fldChar w:fldCharType="end"/>
    </w:r>
    <w:r>
      <w:rPr>
        <w:rStyle w:val="12"/>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58025"/>
    <w:multiLevelType w:val="singleLevel"/>
    <w:tmpl w:val="FE958025"/>
    <w:lvl w:ilvl="0" w:tentative="0">
      <w:start w:val="4"/>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9"/>
      <w:lvlText w:val="%1."/>
      <w:lvlJc w:val="left"/>
      <w:pPr>
        <w:tabs>
          <w:tab w:val="left" w:pos="780"/>
        </w:tabs>
        <w:ind w:left="780" w:hanging="360"/>
      </w:pPr>
    </w:lvl>
  </w:abstractNum>
  <w:abstractNum w:abstractNumId="2">
    <w:nsid w:val="5B17CE34"/>
    <w:multiLevelType w:val="singleLevel"/>
    <w:tmpl w:val="5B17CE3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efaultTabStop w:val="420"/>
  <w:drawingGridHorizontalSpacing w:val="103"/>
  <w:drawingGridVerticalSpacing w:val="30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2EC8"/>
    <w:rsid w:val="0017567A"/>
    <w:rsid w:val="001767DA"/>
    <w:rsid w:val="00176999"/>
    <w:rsid w:val="00177AAB"/>
    <w:rsid w:val="00177B4F"/>
    <w:rsid w:val="00180C85"/>
    <w:rsid w:val="00182471"/>
    <w:rsid w:val="0018432B"/>
    <w:rsid w:val="00184B97"/>
    <w:rsid w:val="00185ECC"/>
    <w:rsid w:val="0019359F"/>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604F"/>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373"/>
    <w:rsid w:val="00342F27"/>
    <w:rsid w:val="00343E6F"/>
    <w:rsid w:val="003543F8"/>
    <w:rsid w:val="003553B0"/>
    <w:rsid w:val="00356327"/>
    <w:rsid w:val="00356FB0"/>
    <w:rsid w:val="00362D7C"/>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311D"/>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A87"/>
    <w:rsid w:val="00817FB7"/>
    <w:rsid w:val="008228CB"/>
    <w:rsid w:val="00823B8A"/>
    <w:rsid w:val="008256F2"/>
    <w:rsid w:val="00825D5B"/>
    <w:rsid w:val="00826475"/>
    <w:rsid w:val="008302E3"/>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34E"/>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E70B8"/>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1F2"/>
    <w:rsid w:val="00C4231F"/>
    <w:rsid w:val="00C42C0F"/>
    <w:rsid w:val="00C44F7C"/>
    <w:rsid w:val="00C453ED"/>
    <w:rsid w:val="00C51945"/>
    <w:rsid w:val="00C51AF3"/>
    <w:rsid w:val="00C52A77"/>
    <w:rsid w:val="00C55928"/>
    <w:rsid w:val="00C567D4"/>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236"/>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D83"/>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4843"/>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671A"/>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C708F"/>
    <w:rsid w:val="00ED1216"/>
    <w:rsid w:val="00ED22E6"/>
    <w:rsid w:val="00ED5711"/>
    <w:rsid w:val="00ED5D51"/>
    <w:rsid w:val="00ED7041"/>
    <w:rsid w:val="00EE0EC3"/>
    <w:rsid w:val="00EE3B66"/>
    <w:rsid w:val="00EE4F4D"/>
    <w:rsid w:val="00EF0C12"/>
    <w:rsid w:val="00EF231E"/>
    <w:rsid w:val="00EF294C"/>
    <w:rsid w:val="00EF3DA8"/>
    <w:rsid w:val="00EF77F1"/>
    <w:rsid w:val="00EF7F6D"/>
    <w:rsid w:val="00F030EE"/>
    <w:rsid w:val="00F051EF"/>
    <w:rsid w:val="00F06216"/>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3220"/>
    <w:rsid w:val="00F74924"/>
    <w:rsid w:val="00F75464"/>
    <w:rsid w:val="00F76915"/>
    <w:rsid w:val="00F7710B"/>
    <w:rsid w:val="00F80802"/>
    <w:rsid w:val="00F81454"/>
    <w:rsid w:val="00F81CBB"/>
    <w:rsid w:val="00F853EC"/>
    <w:rsid w:val="00F8549E"/>
    <w:rsid w:val="00F87499"/>
    <w:rsid w:val="00F905B2"/>
    <w:rsid w:val="00F92621"/>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0135"/>
    <w:rsid w:val="00FE12FD"/>
    <w:rsid w:val="00FE14D3"/>
    <w:rsid w:val="00FE19EB"/>
    <w:rsid w:val="00FE3D9E"/>
    <w:rsid w:val="00FF1172"/>
    <w:rsid w:val="00FF3FE2"/>
    <w:rsid w:val="00FF4BBA"/>
    <w:rsid w:val="00FF6034"/>
    <w:rsid w:val="00FF7685"/>
    <w:rsid w:val="00FF774A"/>
    <w:rsid w:val="011263D1"/>
    <w:rsid w:val="02324195"/>
    <w:rsid w:val="0EA5575E"/>
    <w:rsid w:val="169441A5"/>
    <w:rsid w:val="1DFF4658"/>
    <w:rsid w:val="289A1CB0"/>
    <w:rsid w:val="29E5392E"/>
    <w:rsid w:val="2DEF5213"/>
    <w:rsid w:val="31EFAAE1"/>
    <w:rsid w:val="37AF18E2"/>
    <w:rsid w:val="39F69D22"/>
    <w:rsid w:val="3ABFEB98"/>
    <w:rsid w:val="3BEF8404"/>
    <w:rsid w:val="3E2D2A1D"/>
    <w:rsid w:val="3E7FA992"/>
    <w:rsid w:val="3EBF4C17"/>
    <w:rsid w:val="3FDD7A75"/>
    <w:rsid w:val="3FEC32EC"/>
    <w:rsid w:val="47F68F0D"/>
    <w:rsid w:val="49FC5C10"/>
    <w:rsid w:val="4BF71CA5"/>
    <w:rsid w:val="4D1E183D"/>
    <w:rsid w:val="4E9A5DD4"/>
    <w:rsid w:val="539537FA"/>
    <w:rsid w:val="57F4D9FE"/>
    <w:rsid w:val="59D9B15F"/>
    <w:rsid w:val="5C0E4D81"/>
    <w:rsid w:val="5D571068"/>
    <w:rsid w:val="5DEED18F"/>
    <w:rsid w:val="5DEFE424"/>
    <w:rsid w:val="5EAFBEE3"/>
    <w:rsid w:val="5EFB523F"/>
    <w:rsid w:val="5F302BF0"/>
    <w:rsid w:val="5FD5F3F6"/>
    <w:rsid w:val="5FDF1D03"/>
    <w:rsid w:val="5FF34776"/>
    <w:rsid w:val="62F7BE5C"/>
    <w:rsid w:val="63FE78ED"/>
    <w:rsid w:val="67AFFC29"/>
    <w:rsid w:val="67F4EB7E"/>
    <w:rsid w:val="6A3912F3"/>
    <w:rsid w:val="6AEF9896"/>
    <w:rsid w:val="6C3E062B"/>
    <w:rsid w:val="6F751B38"/>
    <w:rsid w:val="6F7756D9"/>
    <w:rsid w:val="6F7FC15C"/>
    <w:rsid w:val="6FD904BA"/>
    <w:rsid w:val="75FB0EE3"/>
    <w:rsid w:val="75FF0BAA"/>
    <w:rsid w:val="77A911B0"/>
    <w:rsid w:val="77D50576"/>
    <w:rsid w:val="77E4E17D"/>
    <w:rsid w:val="77FF304A"/>
    <w:rsid w:val="78DF94B8"/>
    <w:rsid w:val="7AD7C635"/>
    <w:rsid w:val="7BAC0E71"/>
    <w:rsid w:val="7BD5AB27"/>
    <w:rsid w:val="7BEE705F"/>
    <w:rsid w:val="7CFD6238"/>
    <w:rsid w:val="7CFD75D5"/>
    <w:rsid w:val="7D9D455F"/>
    <w:rsid w:val="7DBF6D64"/>
    <w:rsid w:val="7DD1C1EA"/>
    <w:rsid w:val="7DD55C8D"/>
    <w:rsid w:val="7DD580FB"/>
    <w:rsid w:val="7DFF5875"/>
    <w:rsid w:val="7E53D1D2"/>
    <w:rsid w:val="7EB67E29"/>
    <w:rsid w:val="7ED748B5"/>
    <w:rsid w:val="7EEF830D"/>
    <w:rsid w:val="7FBF79E7"/>
    <w:rsid w:val="7FBFA5EA"/>
    <w:rsid w:val="7FBFDD97"/>
    <w:rsid w:val="7FFED25C"/>
    <w:rsid w:val="7FFF530E"/>
    <w:rsid w:val="7FFFB576"/>
    <w:rsid w:val="8F5F7F9E"/>
    <w:rsid w:val="94BF2ABE"/>
    <w:rsid w:val="95FAC4B1"/>
    <w:rsid w:val="9DC96043"/>
    <w:rsid w:val="AE6248B1"/>
    <w:rsid w:val="AFCBF281"/>
    <w:rsid w:val="B3EFE9E3"/>
    <w:rsid w:val="B8349BFE"/>
    <w:rsid w:val="BB9F8A05"/>
    <w:rsid w:val="BBBFFD64"/>
    <w:rsid w:val="BCEA18F9"/>
    <w:rsid w:val="BCF90617"/>
    <w:rsid w:val="BDBFD823"/>
    <w:rsid w:val="BDFE546E"/>
    <w:rsid w:val="BF3B0A4F"/>
    <w:rsid w:val="BF7F367C"/>
    <w:rsid w:val="BF962527"/>
    <w:rsid w:val="CAFF556B"/>
    <w:rsid w:val="D7BE0CE1"/>
    <w:rsid w:val="D7E5248F"/>
    <w:rsid w:val="DBEFD0F4"/>
    <w:rsid w:val="DCFFD279"/>
    <w:rsid w:val="DF7E0655"/>
    <w:rsid w:val="DFD9A078"/>
    <w:rsid w:val="DFFEDB03"/>
    <w:rsid w:val="E57A2C6F"/>
    <w:rsid w:val="ED776F58"/>
    <w:rsid w:val="EDFF447B"/>
    <w:rsid w:val="EE6F4522"/>
    <w:rsid w:val="EEFC1920"/>
    <w:rsid w:val="EF4E2085"/>
    <w:rsid w:val="EFFC7D14"/>
    <w:rsid w:val="F1E7C29C"/>
    <w:rsid w:val="F3DFB5F3"/>
    <w:rsid w:val="F3F5BD2B"/>
    <w:rsid w:val="F5DDB51B"/>
    <w:rsid w:val="F66BEAC3"/>
    <w:rsid w:val="F9BA7ED2"/>
    <w:rsid w:val="FA3B06A0"/>
    <w:rsid w:val="FADB58D5"/>
    <w:rsid w:val="FAED63AB"/>
    <w:rsid w:val="FB9D986A"/>
    <w:rsid w:val="FBFDDD18"/>
    <w:rsid w:val="FBFF0732"/>
    <w:rsid w:val="FDCE5D57"/>
    <w:rsid w:val="FDEBD621"/>
    <w:rsid w:val="FEFC7D4D"/>
    <w:rsid w:val="FF9F3BBB"/>
    <w:rsid w:val="FFED2DE8"/>
    <w:rsid w:val="FFEFEC84"/>
    <w:rsid w:val="FFF3C8D2"/>
    <w:rsid w:val="FFF54D67"/>
    <w:rsid w:val="FFFD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57"/>
    </w:pPr>
    <w:rPr>
      <w:kern w:val="0"/>
      <w:sz w:val="20"/>
    </w:rPr>
  </w:style>
  <w:style w:type="paragraph" w:styleId="4">
    <w:name w:val="Body Text"/>
    <w:basedOn w:val="1"/>
    <w:unhideWhenUsed/>
    <w:qFormat/>
    <w:uiPriority w:val="99"/>
    <w:pPr>
      <w:spacing w:after="120"/>
    </w:pPr>
  </w:style>
  <w:style w:type="paragraph" w:styleId="5">
    <w:name w:val="Body Text Indent 2"/>
    <w:basedOn w:val="1"/>
    <w:link w:val="17"/>
    <w:unhideWhenUsed/>
    <w:qFormat/>
    <w:uiPriority w:val="99"/>
    <w:pPr>
      <w:ind w:firstLine="588" w:firstLineChars="200"/>
    </w:pPr>
    <w:rPr>
      <w:rFonts w:ascii="仿宋_GB2312" w:hAnsi="Calibri" w:eastAsia="仿宋_GB2312"/>
      <w:sz w:val="32"/>
    </w:rPr>
  </w:style>
  <w:style w:type="paragraph" w:styleId="6">
    <w:name w:val="Balloon Text"/>
    <w:basedOn w:val="1"/>
    <w:link w:val="20"/>
    <w:semiHidden/>
    <w:qFormat/>
    <w:uiPriority w:val="0"/>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paragraph" w:customStyle="1" w:styleId="16">
    <w:name w:val="Char"/>
    <w:basedOn w:val="1"/>
    <w:qFormat/>
    <w:uiPriority w:val="0"/>
    <w:pPr>
      <w:autoSpaceDE w:val="0"/>
      <w:autoSpaceDN w:val="0"/>
      <w:adjustRightInd w:val="0"/>
    </w:pPr>
    <w:rPr>
      <w:rFonts w:ascii="宋体" w:cs="宋体"/>
      <w:kern w:val="0"/>
      <w:sz w:val="20"/>
      <w:szCs w:val="20"/>
      <w:lang w:val="zh-CN"/>
    </w:rPr>
  </w:style>
  <w:style w:type="character" w:customStyle="1" w:styleId="17">
    <w:name w:val="正文文本缩进 2 字符"/>
    <w:basedOn w:val="11"/>
    <w:link w:val="5"/>
    <w:qFormat/>
    <w:uiPriority w:val="99"/>
    <w:rPr>
      <w:rFonts w:ascii="仿宋_GB2312" w:hAnsi="Calibri" w:eastAsia="仿宋_GB2312" w:cs="Times New Roman"/>
      <w:sz w:val="32"/>
      <w:szCs w:val="24"/>
    </w:rPr>
  </w:style>
  <w:style w:type="paragraph" w:customStyle="1" w:styleId="18">
    <w:name w:val="Char1"/>
    <w:basedOn w:val="1"/>
    <w:qFormat/>
    <w:uiPriority w:val="0"/>
    <w:rPr>
      <w:rFonts w:ascii="仿宋_GB2312" w:eastAsia="仿宋_GB2312"/>
      <w:sz w:val="32"/>
    </w:rPr>
  </w:style>
  <w:style w:type="paragraph" w:customStyle="1" w:styleId="19">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0">
    <w:name w:val="批注框文本 字符"/>
    <w:basedOn w:val="11"/>
    <w:link w:val="6"/>
    <w:semiHidden/>
    <w:qFormat/>
    <w:uiPriority w:val="0"/>
    <w:rPr>
      <w:rFonts w:ascii="Times New Roman" w:hAnsi="Times New Roman" w:eastAsia="宋体" w:cs="Times New Roman"/>
      <w:sz w:val="18"/>
      <w:szCs w:val="18"/>
    </w:rPr>
  </w:style>
  <w:style w:type="character" w:customStyle="1" w:styleId="21">
    <w:name w:val="font03"/>
    <w:qFormat/>
    <w:uiPriority w:val="99"/>
  </w:style>
  <w:style w:type="paragraph" w:customStyle="1" w:styleId="22">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4834</Words>
  <Characters>27556</Characters>
  <Lines>229</Lines>
  <Paragraphs>64</Paragraphs>
  <TotalTime>15</TotalTime>
  <ScaleCrop>false</ScaleCrop>
  <LinksUpToDate>false</LinksUpToDate>
  <CharactersWithSpaces>32326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2021-06-08T01:03:00Z</dcterms:created>
  <dc:creator>User</dc:creator>
  <cp:lastModifiedBy>xjkp</cp:lastModifiedBy>
  <cp:lastPrinted>2022-06-12T02:03:00Z</cp:lastPrinted>
  <dcterms:modified xsi:type="dcterms:W3CDTF">2022-09-30T16:55:53Z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